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ess-release"/>
    <w:p>
      <w:pPr>
        <w:pStyle w:val="Heading1"/>
      </w:pPr>
      <w:r>
        <w:t xml:space="preserve">PRESS RELEASE</w:t>
      </w:r>
    </w:p>
    <w:p>
      <w:pPr>
        <w:pStyle w:val="FirstParagraph"/>
      </w:pPr>
      <w:r>
        <w:rPr>
          <w:bCs/>
          <w:b/>
        </w:rPr>
        <w:t xml:space="preserve">For immediate release, 27 October 2026</w:t>
      </w:r>
    </w:p>
    <w:p>
      <w:r>
        <w:pict>
          <v:rect style="width:0;height:1.5pt" o:hralign="center" o:hrstd="t" o:hr="t"/>
        </w:pict>
      </w:r>
    </w:p>
    <w:bookmarkEnd w:id="20"/>
    <w:bookmarkStart w:id="33" w:name="X70dee54497140e5594d777eda1bf243d53b44b7"/>
    <w:p>
      <w:pPr>
        <w:pStyle w:val="Heading1"/>
      </w:pPr>
      <w:r>
        <w:t xml:space="preserve">MELBOURNE IS AUSTRALIA’S MOST SEXUALLY LIBERAL CITY. SYDNEY COMES TENTH</w:t>
      </w:r>
    </w:p>
    <w:bookmarkStart w:id="22" w:name="X9cfc4982436a4fbde15e2344d804b2c25517d5b"/>
    <w:p>
      <w:pPr>
        <w:pStyle w:val="Heading2"/>
      </w:pPr>
      <w:r>
        <w:t xml:space="preserve">A new ranking of Australia’s 25 biggest cities scores attitudes, queer life, sex work law, nightlife and abortion law. Brisbane and Gold Coast complete the top three. Albury-Wodonga comes last.</w:t>
      </w:r>
    </w:p>
    <w:p>
      <w:pPr>
        <w:pStyle w:val="FirstParagraph"/>
      </w:pPr>
      <w:r>
        <w:t xml:space="preserve">Which Australian city is the most sexually liberal? Erobella’s Data &amp; Research team set out to answer it with numbers.</w:t>
      </w:r>
    </w:p>
    <w:p>
      <w:pPr>
        <w:pStyle w:val="BodyText"/>
      </w:pPr>
      <w:r>
        <w:rPr>
          <w:bCs/>
          <w:b/>
        </w:rPr>
        <w:t xml:space="preserve">Most Sexually Liberal Cities in Australia 2026</w:t>
      </w:r>
      <w:r>
        <w:t xml:space="preserve"> </w:t>
      </w:r>
      <w:r>
        <w:t xml:space="preserve">scores the country’s 25 biggest urban areas, from Sydney down to Coffs Harbour, on ten measures. They cover how each city voted on same-sex marriage, how many people have no religion, its Pride events and queer bars, the sex work law it lives under, its adult shops, strip clubs and nude beaches, and how late in a pregnancy you can get an abortion on request. The full ranking, with a night-time map and a breakdown of every score, is at</w:t>
      </w:r>
      <w:r>
        <w:t xml:space="preserve"> </w:t>
      </w:r>
      <w:hyperlink r:id="rId21">
        <w:r>
          <w:rPr>
            <w:rStyle w:val="Hyperlink"/>
          </w:rPr>
          <w:t xml:space="preserve">erobella.com/research/sexually-liberal-cities-australia</w:t>
        </w:r>
      </w:hyperlink>
      <w:r>
        <w:t xml:space="preserve">.</w:t>
      </w:r>
    </w:p>
    <w:p>
      <w:pPr>
        <w:pStyle w:val="BodyText"/>
      </w:pPr>
      <w:r>
        <w:rPr>
          <w:bCs/>
          <w:b/>
        </w:rPr>
        <w:t xml:space="preserve">Melbourne comes first with 75.2 out of 100</w:t>
      </w:r>
      <w:r>
        <w:t xml:space="preserve">, ahead of Brisbane (73.8) and Gold Coast (71.0). It leads on queer life. Its weak spot is attitudes, where it ranks 18th.</w:t>
      </w:r>
    </w:p>
    <w:bookmarkEnd w:id="22"/>
    <w:bookmarkStart w:id="23" w:name="key-findings"/>
    <w:p>
      <w:pPr>
        <w:pStyle w:val="Heading2"/>
      </w:pPr>
      <w:r>
        <w:t xml:space="preserve">Key findings</w:t>
      </w:r>
    </w:p>
    <w:p>
      <w:pPr>
        <w:numPr>
          <w:ilvl w:val="0"/>
          <w:numId w:val="1001"/>
        </w:numPr>
        <w:pStyle w:val="Compact"/>
      </w:pPr>
      <w:r>
        <w:rPr>
          <w:bCs/>
          <w:b/>
        </w:rPr>
        <w:t xml:space="preserve">Melbourne is first, Brisbane second and Gold Coast third.</w:t>
      </w:r>
      <w:r>
        <w:t xml:space="preserve"> </w:t>
      </w:r>
      <w:r>
        <w:t xml:space="preserve">Canberra and Cairns complete the top five.</w:t>
      </w:r>
    </w:p>
    <w:p>
      <w:pPr>
        <w:numPr>
          <w:ilvl w:val="0"/>
          <w:numId w:val="1001"/>
        </w:numPr>
        <w:pStyle w:val="Compact"/>
      </w:pPr>
      <w:r>
        <w:rPr>
          <w:bCs/>
          <w:b/>
        </w:rPr>
        <w:t xml:space="preserve">Three of the top five are in Queensland</w:t>
      </w:r>
      <w:r>
        <w:t xml:space="preserve">, which decriminalised sex work in August 2024 and protects sex workers in its anti-discrimination law.</w:t>
      </w:r>
    </w:p>
    <w:p>
      <w:pPr>
        <w:numPr>
          <w:ilvl w:val="0"/>
          <w:numId w:val="1001"/>
        </w:numPr>
        <w:pStyle w:val="Compact"/>
      </w:pPr>
      <w:r>
        <w:rPr>
          <w:bCs/>
          <w:b/>
        </w:rPr>
        <w:t xml:space="preserve">Sydney is tenth.</w:t>
      </w:r>
      <w:r>
        <w:t xml:space="preserve"> </w:t>
      </w:r>
      <w:r>
        <w:t xml:space="preserve">It tops the after-dark part of the index, with 28 adult shops and 13 strip, swingers and kink clubs, and it has Mardi Gras. But only 53.5% of Sydney voted Yes to same-sex marriage in 2017, the second lowest of the 25, and 32% have no religion, the lowest of all. It scores 2.7 out of 25 on attitudes.</w:t>
      </w:r>
    </w:p>
    <w:p>
      <w:pPr>
        <w:numPr>
          <w:ilvl w:val="0"/>
          <w:numId w:val="1001"/>
        </w:numPr>
        <w:pStyle w:val="Compact"/>
      </w:pPr>
      <w:r>
        <w:rPr>
          <w:bCs/>
          <w:b/>
        </w:rPr>
        <w:t xml:space="preserve">Albury-Wodonga is last.</w:t>
      </w:r>
      <w:r>
        <w:t xml:space="preserve"> </w:t>
      </w:r>
      <w:r>
        <w:t xml:space="preserve">We found no Pride event, no queer bar, one adult shop, no strip or swingers club and no nude beach nearby. Toowoomba, the only city where most people voted No to same-sex marriage in 2017 (49.2% Yes), is 22nd.</w:t>
      </w:r>
    </w:p>
    <w:p>
      <w:pPr>
        <w:numPr>
          <w:ilvl w:val="0"/>
          <w:numId w:val="1001"/>
        </w:numPr>
        <w:pStyle w:val="Compact"/>
      </w:pPr>
      <w:r>
        <w:rPr>
          <w:bCs/>
          <w:b/>
        </w:rPr>
        <w:t xml:space="preserve">Canberra voted Yes hardest</w:t>
      </w:r>
      <w:r>
        <w:t xml:space="preserve"> </w:t>
      </w:r>
      <w:r>
        <w:t xml:space="preserve">(73.3%).</w:t>
      </w:r>
      <w:r>
        <w:t xml:space="preserve"> </w:t>
      </w:r>
      <w:r>
        <w:rPr>
          <w:bCs/>
          <w:b/>
        </w:rPr>
        <w:t xml:space="preserve">Hobart</w:t>
      </w:r>
      <w:r>
        <w:t xml:space="preserve"> </w:t>
      </w:r>
      <w:r>
        <w:t xml:space="preserve">has the highest share of people with no religion (53%) and tops the attitudes part of the index.</w:t>
      </w:r>
    </w:p>
    <w:p>
      <w:pPr>
        <w:numPr>
          <w:ilvl w:val="0"/>
          <w:numId w:val="1001"/>
        </w:numPr>
        <w:pStyle w:val="Compact"/>
      </w:pPr>
      <w:r>
        <w:rPr>
          <w:bCs/>
          <w:b/>
        </w:rPr>
        <w:t xml:space="preserve">The law holds Adelaide and Perth back.</w:t>
      </w:r>
      <w:r>
        <w:t xml:space="preserve"> </w:t>
      </w:r>
      <w:r>
        <w:t xml:space="preserve">Sex work is still largely a crime in South Australia; in Western Australia you can only work alone. Adelaide ranks 11th and Perth 14th.</w:t>
      </w:r>
    </w:p>
    <w:p>
      <w:pPr>
        <w:numPr>
          <w:ilvl w:val="0"/>
          <w:numId w:val="1001"/>
        </w:numPr>
        <w:pStyle w:val="Compact"/>
      </w:pPr>
      <w:r>
        <w:rPr>
          <w:bCs/>
          <w:b/>
        </w:rPr>
        <w:t xml:space="preserve">Sex workers in Victoria, Queensland, the ACT and the NT are protected by anti-discrimination law.</w:t>
      </w:r>
      <w:r>
        <w:t xml:space="preserve"> </w:t>
      </w:r>
      <w:r>
        <w:t xml:space="preserve">In New South Wales, where sex work has been decriminalised since 1995, they still aren’t.</w:t>
      </w:r>
    </w:p>
    <w:p>
      <w:pPr>
        <w:numPr>
          <w:ilvl w:val="0"/>
          <w:numId w:val="1001"/>
        </w:numPr>
        <w:pStyle w:val="Compact"/>
      </w:pPr>
      <w:r>
        <w:rPr>
          <w:bCs/>
          <w:b/>
        </w:rPr>
        <w:t xml:space="preserve">Of the 25 cities, 21 held a Pride event in 2025 or 2026</w:t>
      </w:r>
      <w:r>
        <w:t xml:space="preserve">, but we found dedicated queer bars or clubs in only 8. Melbourne has 7, Sydney 6 and Brisbane 4.</w:t>
      </w:r>
    </w:p>
    <w:p>
      <w:pPr>
        <w:numPr>
          <w:ilvl w:val="0"/>
          <w:numId w:val="1001"/>
        </w:numPr>
        <w:pStyle w:val="Compact"/>
      </w:pPr>
      <w:r>
        <w:rPr>
          <w:bCs/>
          <w:b/>
        </w:rPr>
        <w:t xml:space="preserve">Nine cities have a legal nude beach within 50 km of the centre.</w:t>
      </w:r>
      <w:r>
        <w:t xml:space="preserve"> </w:t>
      </w:r>
      <w:r>
        <w:t xml:space="preserve">None is in Queensland or Tasmania, which have no legal nude beaches.</w:t>
      </w:r>
    </w:p>
    <w:p>
      <w:pPr>
        <w:numPr>
          <w:ilvl w:val="0"/>
          <w:numId w:val="1001"/>
        </w:numPr>
        <w:pStyle w:val="Compact"/>
      </w:pPr>
      <w:r>
        <w:rPr>
          <w:bCs/>
          <w:b/>
        </w:rPr>
        <w:t xml:space="preserve">Cairns has the most sex worker listings per head</w:t>
      </w:r>
      <w:r>
        <w:t xml:space="preserve"> </w:t>
      </w:r>
      <w:r>
        <w:t xml:space="preserve">on Erobella: 82 per 100,000 people.</w:t>
      </w:r>
    </w:p>
    <w:p>
      <w:pPr>
        <w:numPr>
          <w:ilvl w:val="0"/>
          <w:numId w:val="1001"/>
        </w:numPr>
        <w:pStyle w:val="Compact"/>
      </w:pPr>
      <w:r>
        <w:rPr>
          <w:bCs/>
          <w:b/>
        </w:rPr>
        <w:t xml:space="preserve">Tasmania has Australia’s strictest abortion time limit</w:t>
      </w:r>
      <w:r>
        <w:t xml:space="preserve">, 16 weeks on request. Victoria and the NT allow 24 weeks, and the ACT sets no limit in law.</w:t>
      </w:r>
    </w:p>
    <w:bookmarkEnd w:id="23"/>
    <w:bookmarkStart w:id="24" w:name="the-full-ranking"/>
    <w:p>
      <w:pPr>
        <w:pStyle w:val="Heading2"/>
      </w:pPr>
      <w:r>
        <w:t xml:space="preserve">The full ranking</w:t>
      </w:r>
    </w:p>
    <w:tbl>
      <w:tblPr>
        <w:tblStyle w:val="Table"/>
        <w:tblW w:type="pct" w:w="5000"/>
        <w:tblLook w:firstRow="1" w:lastRow="0" w:firstColumn="0" w:lastColumn="0" w:noHBand="0" w:noVBand="0" w:val="0020"/>
        <w:jc w:val="start"/>
      </w:tblPr>
      <w:tblGrid>
        <w:gridCol w:w="879"/>
        <w:gridCol w:w="879"/>
        <w:gridCol w:w="879"/>
        <w:gridCol w:w="879"/>
        <w:gridCol w:w="879"/>
        <w:gridCol w:w="879"/>
        <w:gridCol w:w="879"/>
        <w:gridCol w:w="879"/>
        <w:gridCol w:w="879"/>
      </w:tblGrid>
      <w:tr>
        <w:trPr>
          <w:tblHeader w:val="true"/>
        </w:trPr>
        <w:tc>
          <w:tcPr/>
          <w:p>
            <w:pPr>
              <w:pStyle w:val="Compact"/>
              <w:jc w:val="left"/>
            </w:pPr>
            <w:r>
              <w:t xml:space="preserve">Rank</w:t>
            </w:r>
          </w:p>
        </w:tc>
        <w:tc>
          <w:tcPr/>
          <w:p>
            <w:pPr>
              <w:pStyle w:val="Compact"/>
              <w:jc w:val="left"/>
            </w:pPr>
            <w:r>
              <w:t xml:space="preserve">City</w:t>
            </w:r>
          </w:p>
        </w:tc>
        <w:tc>
          <w:tcPr/>
          <w:p>
            <w:pPr>
              <w:pStyle w:val="Compact"/>
              <w:jc w:val="left"/>
            </w:pPr>
            <w:r>
              <w:t xml:space="preserve">State</w:t>
            </w:r>
          </w:p>
        </w:tc>
        <w:tc>
          <w:tcPr/>
          <w:p>
            <w:pPr>
              <w:pStyle w:val="Compact"/>
              <w:jc w:val="left"/>
            </w:pPr>
            <w:r>
              <w:t xml:space="preserve">Score /100</w:t>
            </w:r>
          </w:p>
        </w:tc>
        <w:tc>
          <w:tcPr/>
          <w:p>
            <w:pPr>
              <w:pStyle w:val="Compact"/>
              <w:jc w:val="left"/>
            </w:pPr>
            <w:r>
              <w:t xml:space="preserve">Attitudes /25</w:t>
            </w:r>
          </w:p>
        </w:tc>
        <w:tc>
          <w:tcPr/>
          <w:p>
            <w:pPr>
              <w:pStyle w:val="Compact"/>
              <w:jc w:val="left"/>
            </w:pPr>
            <w:r>
              <w:t xml:space="preserve">Queer life /20</w:t>
            </w:r>
          </w:p>
        </w:tc>
        <w:tc>
          <w:tcPr/>
          <w:p>
            <w:pPr>
              <w:pStyle w:val="Compact"/>
              <w:jc w:val="left"/>
            </w:pPr>
            <w:r>
              <w:t xml:space="preserve">Sex work /25</w:t>
            </w:r>
          </w:p>
        </w:tc>
        <w:tc>
          <w:tcPr/>
          <w:p>
            <w:pPr>
              <w:pStyle w:val="Compact"/>
              <w:jc w:val="left"/>
            </w:pPr>
            <w:r>
              <w:t xml:space="preserve">After dark /20</w:t>
            </w:r>
          </w:p>
        </w:tc>
        <w:tc>
          <w:tcPr/>
          <w:p>
            <w:pPr>
              <w:pStyle w:val="Compact"/>
              <w:jc w:val="left"/>
            </w:pPr>
            <w:r>
              <w:t xml:space="preserve">Abortion law /10</w:t>
            </w:r>
          </w:p>
        </w:tc>
      </w:tr>
      <w:tr>
        <w:tc>
          <w:tcPr/>
          <w:p>
            <w:pPr>
              <w:pStyle w:val="Compact"/>
              <w:jc w:val="left"/>
            </w:pPr>
            <w:r>
              <w:t xml:space="preserve">1</w:t>
            </w:r>
          </w:p>
        </w:tc>
        <w:tc>
          <w:tcPr/>
          <w:p>
            <w:pPr>
              <w:pStyle w:val="Compact"/>
              <w:jc w:val="left"/>
            </w:pPr>
            <w:r>
              <w:t xml:space="preserve">Melbourne</w:t>
            </w:r>
          </w:p>
        </w:tc>
        <w:tc>
          <w:tcPr/>
          <w:p>
            <w:pPr>
              <w:pStyle w:val="Compact"/>
              <w:jc w:val="left"/>
            </w:pPr>
            <w:r>
              <w:t xml:space="preserve">VIC</w:t>
            </w:r>
          </w:p>
        </w:tc>
        <w:tc>
          <w:tcPr/>
          <w:p>
            <w:pPr>
              <w:pStyle w:val="Compact"/>
              <w:jc w:val="left"/>
            </w:pPr>
            <w:r>
              <w:t xml:space="preserve">75.2</w:t>
            </w:r>
          </w:p>
        </w:tc>
        <w:tc>
          <w:tcPr/>
          <w:p>
            <w:pPr>
              <w:pStyle w:val="Compact"/>
              <w:jc w:val="left"/>
            </w:pPr>
            <w:r>
              <w:t xml:space="preserve">13.2</w:t>
            </w:r>
          </w:p>
        </w:tc>
        <w:tc>
          <w:tcPr/>
          <w:p>
            <w:pPr>
              <w:pStyle w:val="Compact"/>
              <w:jc w:val="left"/>
            </w:pPr>
            <w:r>
              <w:t xml:space="preserve">20.0</w:t>
            </w:r>
          </w:p>
        </w:tc>
        <w:tc>
          <w:tcPr/>
          <w:p>
            <w:pPr>
              <w:pStyle w:val="Compact"/>
              <w:jc w:val="left"/>
            </w:pPr>
            <w:r>
              <w:t xml:space="preserve">17.6</w:t>
            </w:r>
          </w:p>
        </w:tc>
        <w:tc>
          <w:tcPr/>
          <w:p>
            <w:pPr>
              <w:pStyle w:val="Compact"/>
              <w:jc w:val="left"/>
            </w:pPr>
            <w:r>
              <w:t xml:space="preserve">14.3</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Brisbane</w:t>
            </w:r>
          </w:p>
        </w:tc>
        <w:tc>
          <w:tcPr/>
          <w:p>
            <w:pPr>
              <w:pStyle w:val="Compact"/>
              <w:jc w:val="left"/>
            </w:pPr>
            <w:r>
              <w:t xml:space="preserve">QLD</w:t>
            </w:r>
          </w:p>
        </w:tc>
        <w:tc>
          <w:tcPr/>
          <w:p>
            <w:pPr>
              <w:pStyle w:val="Compact"/>
              <w:jc w:val="left"/>
            </w:pPr>
            <w:r>
              <w:t xml:space="preserve">73.8</w:t>
            </w:r>
          </w:p>
        </w:tc>
        <w:tc>
          <w:tcPr/>
          <w:p>
            <w:pPr>
              <w:pStyle w:val="Compact"/>
              <w:jc w:val="left"/>
            </w:pPr>
            <w:r>
              <w:t xml:space="preserve">15.5</w:t>
            </w:r>
          </w:p>
        </w:tc>
        <w:tc>
          <w:tcPr/>
          <w:p>
            <w:pPr>
              <w:pStyle w:val="Compact"/>
              <w:jc w:val="left"/>
            </w:pPr>
            <w:r>
              <w:t xml:space="preserve">17.8</w:t>
            </w:r>
          </w:p>
        </w:tc>
        <w:tc>
          <w:tcPr/>
          <w:p>
            <w:pPr>
              <w:pStyle w:val="Compact"/>
              <w:jc w:val="left"/>
            </w:pPr>
            <w:r>
              <w:t xml:space="preserve">19.8</w:t>
            </w:r>
          </w:p>
        </w:tc>
        <w:tc>
          <w:tcPr/>
          <w:p>
            <w:pPr>
              <w:pStyle w:val="Compact"/>
              <w:jc w:val="left"/>
            </w:pPr>
            <w:r>
              <w:t xml:space="preserve">11.6</w:t>
            </w:r>
          </w:p>
        </w:tc>
        <w:tc>
          <w:tcPr/>
          <w:p>
            <w:pPr>
              <w:pStyle w:val="Compact"/>
              <w:jc w:val="left"/>
            </w:pPr>
            <w:r>
              <w:t xml:space="preserve">9.2</w:t>
            </w:r>
          </w:p>
        </w:tc>
      </w:tr>
      <w:tr>
        <w:tc>
          <w:tcPr/>
          <w:p>
            <w:pPr>
              <w:pStyle w:val="Compact"/>
              <w:jc w:val="left"/>
            </w:pPr>
            <w:r>
              <w:t xml:space="preserve">3</w:t>
            </w:r>
          </w:p>
        </w:tc>
        <w:tc>
          <w:tcPr/>
          <w:p>
            <w:pPr>
              <w:pStyle w:val="Compact"/>
              <w:jc w:val="left"/>
            </w:pPr>
            <w:r>
              <w:t xml:space="preserve">Gold Coast</w:t>
            </w:r>
          </w:p>
        </w:tc>
        <w:tc>
          <w:tcPr/>
          <w:p>
            <w:pPr>
              <w:pStyle w:val="Compact"/>
              <w:jc w:val="left"/>
            </w:pPr>
            <w:r>
              <w:t xml:space="preserve">QLD</w:t>
            </w:r>
          </w:p>
        </w:tc>
        <w:tc>
          <w:tcPr/>
          <w:p>
            <w:pPr>
              <w:pStyle w:val="Compact"/>
              <w:jc w:val="left"/>
            </w:pPr>
            <w:r>
              <w:t xml:space="preserve">71.0</w:t>
            </w:r>
          </w:p>
        </w:tc>
        <w:tc>
          <w:tcPr/>
          <w:p>
            <w:pPr>
              <w:pStyle w:val="Compact"/>
              <w:jc w:val="left"/>
            </w:pPr>
            <w:r>
              <w:t xml:space="preserve">15.9</w:t>
            </w:r>
          </w:p>
        </w:tc>
        <w:tc>
          <w:tcPr/>
          <w:p>
            <w:pPr>
              <w:pStyle w:val="Compact"/>
              <w:jc w:val="left"/>
            </w:pPr>
            <w:r>
              <w:t xml:space="preserve">13.2</w:t>
            </w:r>
          </w:p>
        </w:tc>
        <w:tc>
          <w:tcPr/>
          <w:p>
            <w:pPr>
              <w:pStyle w:val="Compact"/>
              <w:jc w:val="left"/>
            </w:pPr>
            <w:r>
              <w:t xml:space="preserve">21.7</w:t>
            </w:r>
          </w:p>
        </w:tc>
        <w:tc>
          <w:tcPr/>
          <w:p>
            <w:pPr>
              <w:pStyle w:val="Compact"/>
              <w:jc w:val="left"/>
            </w:pPr>
            <w:r>
              <w:t xml:space="preserve">11.1</w:t>
            </w:r>
          </w:p>
        </w:tc>
        <w:tc>
          <w:tcPr/>
          <w:p>
            <w:pPr>
              <w:pStyle w:val="Compact"/>
              <w:jc w:val="left"/>
            </w:pPr>
            <w:r>
              <w:t xml:space="preserve">9.2</w:t>
            </w:r>
          </w:p>
        </w:tc>
      </w:tr>
      <w:tr>
        <w:tc>
          <w:tcPr/>
          <w:p>
            <w:pPr>
              <w:pStyle w:val="Compact"/>
              <w:jc w:val="left"/>
            </w:pPr>
            <w:r>
              <w:t xml:space="preserve">4</w:t>
            </w:r>
          </w:p>
        </w:tc>
        <w:tc>
          <w:tcPr/>
          <w:p>
            <w:pPr>
              <w:pStyle w:val="Compact"/>
              <w:jc w:val="left"/>
            </w:pPr>
            <w:r>
              <w:t xml:space="preserve">Canberra</w:t>
            </w:r>
          </w:p>
        </w:tc>
        <w:tc>
          <w:tcPr/>
          <w:p>
            <w:pPr>
              <w:pStyle w:val="Compact"/>
              <w:jc w:val="left"/>
            </w:pPr>
            <w:r>
              <w:t xml:space="preserve">ACT</w:t>
            </w:r>
          </w:p>
        </w:tc>
        <w:tc>
          <w:tcPr/>
          <w:p>
            <w:pPr>
              <w:pStyle w:val="Compact"/>
              <w:jc w:val="left"/>
            </w:pPr>
            <w:r>
              <w:t xml:space="preserve">70.3</w:t>
            </w:r>
          </w:p>
        </w:tc>
        <w:tc>
          <w:tcPr/>
          <w:p>
            <w:pPr>
              <w:pStyle w:val="Compact"/>
              <w:jc w:val="left"/>
            </w:pPr>
            <w:r>
              <w:t xml:space="preserve">21.6</w:t>
            </w:r>
          </w:p>
        </w:tc>
        <w:tc>
          <w:tcPr/>
          <w:p>
            <w:pPr>
              <w:pStyle w:val="Compact"/>
              <w:jc w:val="left"/>
            </w:pPr>
            <w:r>
              <w:t xml:space="preserve">14.2</w:t>
            </w:r>
          </w:p>
        </w:tc>
        <w:tc>
          <w:tcPr/>
          <w:p>
            <w:pPr>
              <w:pStyle w:val="Compact"/>
              <w:jc w:val="left"/>
            </w:pPr>
            <w:r>
              <w:t xml:space="preserve">13.3</w:t>
            </w:r>
          </w:p>
        </w:tc>
        <w:tc>
          <w:tcPr/>
          <w:p>
            <w:pPr>
              <w:pStyle w:val="Compact"/>
              <w:jc w:val="left"/>
            </w:pPr>
            <w:r>
              <w:t xml:space="preserve">11.2</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Cairns</w:t>
            </w:r>
          </w:p>
        </w:tc>
        <w:tc>
          <w:tcPr/>
          <w:p>
            <w:pPr>
              <w:pStyle w:val="Compact"/>
              <w:jc w:val="left"/>
            </w:pPr>
            <w:r>
              <w:t xml:space="preserve">QLD</w:t>
            </w:r>
          </w:p>
        </w:tc>
        <w:tc>
          <w:tcPr/>
          <w:p>
            <w:pPr>
              <w:pStyle w:val="Compact"/>
              <w:jc w:val="left"/>
            </w:pPr>
            <w:r>
              <w:t xml:space="preserve">69.5</w:t>
            </w:r>
          </w:p>
        </w:tc>
        <w:tc>
          <w:tcPr/>
          <w:p>
            <w:pPr>
              <w:pStyle w:val="Compact"/>
              <w:jc w:val="left"/>
            </w:pPr>
            <w:r>
              <w:t xml:space="preserve">15.6</w:t>
            </w:r>
          </w:p>
        </w:tc>
        <w:tc>
          <w:tcPr/>
          <w:p>
            <w:pPr>
              <w:pStyle w:val="Compact"/>
              <w:jc w:val="left"/>
            </w:pPr>
            <w:r>
              <w:t xml:space="preserve">10.0</w:t>
            </w:r>
          </w:p>
        </w:tc>
        <w:tc>
          <w:tcPr/>
          <w:p>
            <w:pPr>
              <w:pStyle w:val="Compact"/>
              <w:jc w:val="left"/>
            </w:pPr>
            <w:r>
              <w:t xml:space="preserve">25.0</w:t>
            </w:r>
          </w:p>
        </w:tc>
        <w:tc>
          <w:tcPr/>
          <w:p>
            <w:pPr>
              <w:pStyle w:val="Compact"/>
              <w:jc w:val="left"/>
            </w:pPr>
            <w:r>
              <w:t xml:space="preserve">9.7</w:t>
            </w:r>
          </w:p>
        </w:tc>
        <w:tc>
          <w:tcPr/>
          <w:p>
            <w:pPr>
              <w:pStyle w:val="Compact"/>
              <w:jc w:val="left"/>
            </w:pPr>
            <w:r>
              <w:t xml:space="preserve">9.2</w:t>
            </w:r>
          </w:p>
        </w:tc>
      </w:tr>
      <w:tr>
        <w:tc>
          <w:tcPr/>
          <w:p>
            <w:pPr>
              <w:pStyle w:val="Compact"/>
              <w:jc w:val="left"/>
            </w:pPr>
            <w:r>
              <w:t xml:space="preserve">6</w:t>
            </w:r>
          </w:p>
        </w:tc>
        <w:tc>
          <w:tcPr/>
          <w:p>
            <w:pPr>
              <w:pStyle w:val="Compact"/>
              <w:jc w:val="left"/>
            </w:pPr>
            <w:r>
              <w:t xml:space="preserve">Darwin</w:t>
            </w:r>
          </w:p>
        </w:tc>
        <w:tc>
          <w:tcPr/>
          <w:p>
            <w:pPr>
              <w:pStyle w:val="Compact"/>
              <w:jc w:val="left"/>
            </w:pPr>
            <w:r>
              <w:t xml:space="preserve">NT</w:t>
            </w:r>
          </w:p>
        </w:tc>
        <w:tc>
          <w:tcPr/>
          <w:p>
            <w:pPr>
              <w:pStyle w:val="Compact"/>
              <w:jc w:val="left"/>
            </w:pPr>
            <w:r>
              <w:t xml:space="preserve">67.8</w:t>
            </w:r>
          </w:p>
        </w:tc>
        <w:tc>
          <w:tcPr/>
          <w:p>
            <w:pPr>
              <w:pStyle w:val="Compact"/>
              <w:jc w:val="left"/>
            </w:pPr>
            <w:r>
              <w:t xml:space="preserve">16.2</w:t>
            </w:r>
          </w:p>
        </w:tc>
        <w:tc>
          <w:tcPr/>
          <w:p>
            <w:pPr>
              <w:pStyle w:val="Compact"/>
              <w:jc w:val="left"/>
            </w:pPr>
            <w:r>
              <w:t xml:space="preserve">7.5</w:t>
            </w:r>
          </w:p>
        </w:tc>
        <w:tc>
          <w:tcPr/>
          <w:p>
            <w:pPr>
              <w:pStyle w:val="Compact"/>
              <w:jc w:val="left"/>
            </w:pPr>
            <w:r>
              <w:t xml:space="preserve">20.2</w:t>
            </w:r>
          </w:p>
        </w:tc>
        <w:tc>
          <w:tcPr/>
          <w:p>
            <w:pPr>
              <w:pStyle w:val="Compact"/>
              <w:jc w:val="left"/>
            </w:pPr>
            <w:r>
              <w:t xml:space="preserve">13.8</w:t>
            </w:r>
          </w:p>
        </w:tc>
        <w:tc>
          <w:tcPr/>
          <w:p>
            <w:pPr>
              <w:pStyle w:val="Compact"/>
              <w:jc w:val="left"/>
            </w:pPr>
            <w:r>
              <w:t xml:space="preserve">10.0</w:t>
            </w:r>
          </w:p>
        </w:tc>
      </w:tr>
      <w:tr>
        <w:tc>
          <w:tcPr/>
          <w:p>
            <w:pPr>
              <w:pStyle w:val="Compact"/>
              <w:jc w:val="left"/>
            </w:pPr>
            <w:r>
              <w:t xml:space="preserve">7</w:t>
            </w:r>
          </w:p>
        </w:tc>
        <w:tc>
          <w:tcPr/>
          <w:p>
            <w:pPr>
              <w:pStyle w:val="Compact"/>
              <w:jc w:val="left"/>
            </w:pPr>
            <w:r>
              <w:t xml:space="preserve">Newcastle</w:t>
            </w:r>
          </w:p>
        </w:tc>
        <w:tc>
          <w:tcPr/>
          <w:p>
            <w:pPr>
              <w:pStyle w:val="Compact"/>
              <w:jc w:val="left"/>
            </w:pPr>
            <w:r>
              <w:t xml:space="preserve">NSW</w:t>
            </w:r>
          </w:p>
        </w:tc>
        <w:tc>
          <w:tcPr/>
          <w:p>
            <w:pPr>
              <w:pStyle w:val="Compact"/>
              <w:jc w:val="left"/>
            </w:pPr>
            <w:r>
              <w:t xml:space="preserve">63.0</w:t>
            </w:r>
          </w:p>
        </w:tc>
        <w:tc>
          <w:tcPr/>
          <w:p>
            <w:pPr>
              <w:pStyle w:val="Compact"/>
              <w:jc w:val="left"/>
            </w:pPr>
            <w:r>
              <w:t xml:space="preserve">18.4</w:t>
            </w:r>
          </w:p>
        </w:tc>
        <w:tc>
          <w:tcPr/>
          <w:p>
            <w:pPr>
              <w:pStyle w:val="Compact"/>
              <w:jc w:val="left"/>
            </w:pPr>
            <w:r>
              <w:t xml:space="preserve">13.2</w:t>
            </w:r>
          </w:p>
        </w:tc>
        <w:tc>
          <w:tcPr/>
          <w:p>
            <w:pPr>
              <w:pStyle w:val="Compact"/>
              <w:jc w:val="left"/>
            </w:pPr>
            <w:r>
              <w:t xml:space="preserve">13.7</w:t>
            </w:r>
          </w:p>
        </w:tc>
        <w:tc>
          <w:tcPr/>
          <w:p>
            <w:pPr>
              <w:pStyle w:val="Compact"/>
              <w:jc w:val="left"/>
            </w:pPr>
            <w:r>
              <w:t xml:space="preserve">8.6</w:t>
            </w:r>
          </w:p>
        </w:tc>
        <w:tc>
          <w:tcPr/>
          <w:p>
            <w:pPr>
              <w:pStyle w:val="Compact"/>
              <w:jc w:val="left"/>
            </w:pPr>
            <w:r>
              <w:t xml:space="preserve">9.2</w:t>
            </w:r>
          </w:p>
        </w:tc>
      </w:tr>
      <w:tr>
        <w:tc>
          <w:tcPr/>
          <w:p>
            <w:pPr>
              <w:pStyle w:val="Compact"/>
              <w:jc w:val="left"/>
            </w:pPr>
            <w:r>
              <w:t xml:space="preserve">8</w:t>
            </w:r>
          </w:p>
        </w:tc>
        <w:tc>
          <w:tcPr/>
          <w:p>
            <w:pPr>
              <w:pStyle w:val="Compact"/>
              <w:jc w:val="left"/>
            </w:pPr>
            <w:r>
              <w:t xml:space="preserve">Ballarat</w:t>
            </w:r>
          </w:p>
        </w:tc>
        <w:tc>
          <w:tcPr/>
          <w:p>
            <w:pPr>
              <w:pStyle w:val="Compact"/>
              <w:jc w:val="left"/>
            </w:pPr>
            <w:r>
              <w:t xml:space="preserve">VIC</w:t>
            </w:r>
          </w:p>
        </w:tc>
        <w:tc>
          <w:tcPr/>
          <w:p>
            <w:pPr>
              <w:pStyle w:val="Compact"/>
              <w:jc w:val="left"/>
            </w:pPr>
            <w:r>
              <w:t xml:space="preserve">62.8</w:t>
            </w:r>
          </w:p>
        </w:tc>
        <w:tc>
          <w:tcPr/>
          <w:p>
            <w:pPr>
              <w:pStyle w:val="Compact"/>
              <w:jc w:val="left"/>
            </w:pPr>
            <w:r>
              <w:t xml:space="preserve">22.3</w:t>
            </w:r>
          </w:p>
        </w:tc>
        <w:tc>
          <w:tcPr/>
          <w:p>
            <w:pPr>
              <w:pStyle w:val="Compact"/>
              <w:jc w:val="left"/>
            </w:pPr>
            <w:r>
              <w:t xml:space="preserve">11.8</w:t>
            </w:r>
          </w:p>
        </w:tc>
        <w:tc>
          <w:tcPr/>
          <w:p>
            <w:pPr>
              <w:pStyle w:val="Compact"/>
              <w:jc w:val="left"/>
            </w:pPr>
            <w:r>
              <w:t xml:space="preserve">16.0</w:t>
            </w:r>
          </w:p>
        </w:tc>
        <w:tc>
          <w:tcPr/>
          <w:p>
            <w:pPr>
              <w:pStyle w:val="Compact"/>
              <w:jc w:val="left"/>
            </w:pPr>
            <w:r>
              <w:t xml:space="preserve">2.7</w:t>
            </w:r>
          </w:p>
        </w:tc>
        <w:tc>
          <w:tcPr/>
          <w:p>
            <w:pPr>
              <w:pStyle w:val="Compact"/>
              <w:jc w:val="left"/>
            </w:pPr>
            <w:r>
              <w:t xml:space="preserve">10.0</w:t>
            </w:r>
          </w:p>
        </w:tc>
      </w:tr>
      <w:tr>
        <w:tc>
          <w:tcPr/>
          <w:p>
            <w:pPr>
              <w:pStyle w:val="Compact"/>
              <w:jc w:val="left"/>
            </w:pPr>
            <w:r>
              <w:t xml:space="preserve">9</w:t>
            </w:r>
          </w:p>
        </w:tc>
        <w:tc>
          <w:tcPr/>
          <w:p>
            <w:pPr>
              <w:pStyle w:val="Compact"/>
              <w:jc w:val="left"/>
            </w:pPr>
            <w:r>
              <w:t xml:space="preserve">Geelong</w:t>
            </w:r>
          </w:p>
        </w:tc>
        <w:tc>
          <w:tcPr/>
          <w:p>
            <w:pPr>
              <w:pStyle w:val="Compact"/>
              <w:jc w:val="left"/>
            </w:pPr>
            <w:r>
              <w:t xml:space="preserve">VIC</w:t>
            </w:r>
          </w:p>
        </w:tc>
        <w:tc>
          <w:tcPr/>
          <w:p>
            <w:pPr>
              <w:pStyle w:val="Compact"/>
              <w:jc w:val="left"/>
            </w:pPr>
            <w:r>
              <w:t xml:space="preserve">62.5</w:t>
            </w:r>
          </w:p>
        </w:tc>
        <w:tc>
          <w:tcPr/>
          <w:p>
            <w:pPr>
              <w:pStyle w:val="Compact"/>
              <w:jc w:val="left"/>
            </w:pPr>
            <w:r>
              <w:t xml:space="preserve">20.4</w:t>
            </w:r>
          </w:p>
        </w:tc>
        <w:tc>
          <w:tcPr/>
          <w:p>
            <w:pPr>
              <w:pStyle w:val="Compact"/>
              <w:jc w:val="left"/>
            </w:pPr>
            <w:r>
              <w:t xml:space="preserve">6.8</w:t>
            </w:r>
          </w:p>
        </w:tc>
        <w:tc>
          <w:tcPr/>
          <w:p>
            <w:pPr>
              <w:pStyle w:val="Compact"/>
              <w:jc w:val="left"/>
            </w:pPr>
            <w:r>
              <w:t xml:space="preserve">15.0</w:t>
            </w:r>
          </w:p>
        </w:tc>
        <w:tc>
          <w:tcPr/>
          <w:p>
            <w:pPr>
              <w:pStyle w:val="Compact"/>
              <w:jc w:val="left"/>
            </w:pPr>
            <w:r>
              <w:t xml:space="preserve">10.3</w:t>
            </w:r>
          </w:p>
        </w:tc>
        <w:tc>
          <w:tcPr/>
          <w:p>
            <w:pPr>
              <w:pStyle w:val="Compact"/>
              <w:jc w:val="left"/>
            </w:pPr>
            <w:r>
              <w:t xml:space="preserve">10.0</w:t>
            </w:r>
          </w:p>
        </w:tc>
      </w:tr>
      <w:tr>
        <w:tc>
          <w:tcPr/>
          <w:p>
            <w:pPr>
              <w:pStyle w:val="Compact"/>
              <w:jc w:val="left"/>
            </w:pPr>
            <w:r>
              <w:t xml:space="preserve">10</w:t>
            </w:r>
          </w:p>
        </w:tc>
        <w:tc>
          <w:tcPr/>
          <w:p>
            <w:pPr>
              <w:pStyle w:val="Compact"/>
              <w:jc w:val="left"/>
            </w:pPr>
            <w:r>
              <w:t xml:space="preserve">Sydney</w:t>
            </w:r>
          </w:p>
        </w:tc>
        <w:tc>
          <w:tcPr/>
          <w:p>
            <w:pPr>
              <w:pStyle w:val="Compact"/>
              <w:jc w:val="left"/>
            </w:pPr>
            <w:r>
              <w:t xml:space="preserve">NSW</w:t>
            </w:r>
          </w:p>
        </w:tc>
        <w:tc>
          <w:tcPr/>
          <w:p>
            <w:pPr>
              <w:pStyle w:val="Compact"/>
              <w:jc w:val="left"/>
            </w:pPr>
            <w:r>
              <w:t xml:space="preserve">61.9</w:t>
            </w:r>
          </w:p>
        </w:tc>
        <w:tc>
          <w:tcPr/>
          <w:p>
            <w:pPr>
              <w:pStyle w:val="Compact"/>
              <w:jc w:val="left"/>
            </w:pPr>
            <w:r>
              <w:t xml:space="preserve">2.7</w:t>
            </w:r>
          </w:p>
        </w:tc>
        <w:tc>
          <w:tcPr/>
          <w:p>
            <w:pPr>
              <w:pStyle w:val="Compact"/>
              <w:jc w:val="left"/>
            </w:pPr>
            <w:r>
              <w:t xml:space="preserve">19.5</w:t>
            </w:r>
          </w:p>
        </w:tc>
        <w:tc>
          <w:tcPr/>
          <w:p>
            <w:pPr>
              <w:pStyle w:val="Compact"/>
              <w:jc w:val="left"/>
            </w:pPr>
            <w:r>
              <w:t xml:space="preserve">15.6</w:t>
            </w:r>
          </w:p>
        </w:tc>
        <w:tc>
          <w:tcPr/>
          <w:p>
            <w:pPr>
              <w:pStyle w:val="Compact"/>
              <w:jc w:val="left"/>
            </w:pPr>
            <w:r>
              <w:t xml:space="preserve">15.0</w:t>
            </w:r>
          </w:p>
        </w:tc>
        <w:tc>
          <w:tcPr/>
          <w:p>
            <w:pPr>
              <w:pStyle w:val="Compact"/>
              <w:jc w:val="left"/>
            </w:pPr>
            <w:r>
              <w:t xml:space="preserve">9.2</w:t>
            </w:r>
          </w:p>
        </w:tc>
      </w:tr>
      <w:tr>
        <w:tc>
          <w:tcPr/>
          <w:p>
            <w:pPr>
              <w:pStyle w:val="Compact"/>
              <w:jc w:val="left"/>
            </w:pPr>
            <w:r>
              <w:t xml:space="preserve">11</w:t>
            </w:r>
          </w:p>
        </w:tc>
        <w:tc>
          <w:tcPr/>
          <w:p>
            <w:pPr>
              <w:pStyle w:val="Compact"/>
              <w:jc w:val="left"/>
            </w:pPr>
            <w:r>
              <w:t xml:space="preserve">Adelaide</w:t>
            </w:r>
          </w:p>
        </w:tc>
        <w:tc>
          <w:tcPr/>
          <w:p>
            <w:pPr>
              <w:pStyle w:val="Compact"/>
              <w:jc w:val="left"/>
            </w:pPr>
            <w:r>
              <w:t xml:space="preserve">SA</w:t>
            </w:r>
          </w:p>
        </w:tc>
        <w:tc>
          <w:tcPr/>
          <w:p>
            <w:pPr>
              <w:pStyle w:val="Compact"/>
              <w:jc w:val="left"/>
            </w:pPr>
            <w:r>
              <w:t xml:space="preserve">59.9</w:t>
            </w:r>
          </w:p>
        </w:tc>
        <w:tc>
          <w:tcPr/>
          <w:p>
            <w:pPr>
              <w:pStyle w:val="Compact"/>
              <w:jc w:val="left"/>
            </w:pPr>
            <w:r>
              <w:t xml:space="preserve">16.7</w:t>
            </w:r>
          </w:p>
        </w:tc>
        <w:tc>
          <w:tcPr/>
          <w:p>
            <w:pPr>
              <w:pStyle w:val="Compact"/>
              <w:jc w:val="left"/>
            </w:pPr>
            <w:r>
              <w:t xml:space="preserve">13.2</w:t>
            </w:r>
          </w:p>
        </w:tc>
        <w:tc>
          <w:tcPr/>
          <w:p>
            <w:pPr>
              <w:pStyle w:val="Compact"/>
              <w:jc w:val="left"/>
            </w:pPr>
            <w:r>
              <w:t xml:space="preserve">6.4</w:t>
            </w:r>
          </w:p>
        </w:tc>
        <w:tc>
          <w:tcPr/>
          <w:p>
            <w:pPr>
              <w:pStyle w:val="Compact"/>
              <w:jc w:val="left"/>
            </w:pPr>
            <w:r>
              <w:t xml:space="preserve">14.1</w:t>
            </w:r>
          </w:p>
        </w:tc>
        <w:tc>
          <w:tcPr/>
          <w:p>
            <w:pPr>
              <w:pStyle w:val="Compact"/>
              <w:jc w:val="left"/>
            </w:pPr>
            <w:r>
              <w:t xml:space="preserve">9.5</w:t>
            </w:r>
          </w:p>
        </w:tc>
      </w:tr>
      <w:tr>
        <w:tc>
          <w:tcPr/>
          <w:p>
            <w:pPr>
              <w:pStyle w:val="Compact"/>
              <w:jc w:val="left"/>
            </w:pPr>
            <w:r>
              <w:t xml:space="preserve">12</w:t>
            </w:r>
          </w:p>
        </w:tc>
        <w:tc>
          <w:tcPr/>
          <w:p>
            <w:pPr>
              <w:pStyle w:val="Compact"/>
              <w:jc w:val="left"/>
            </w:pPr>
            <w:r>
              <w:t xml:space="preserve">Sunshine Coast</w:t>
            </w:r>
          </w:p>
        </w:tc>
        <w:tc>
          <w:tcPr/>
          <w:p>
            <w:pPr>
              <w:pStyle w:val="Compact"/>
              <w:jc w:val="left"/>
            </w:pPr>
            <w:r>
              <w:t xml:space="preserve">QLD</w:t>
            </w:r>
          </w:p>
        </w:tc>
        <w:tc>
          <w:tcPr/>
          <w:p>
            <w:pPr>
              <w:pStyle w:val="Compact"/>
              <w:jc w:val="left"/>
            </w:pPr>
            <w:r>
              <w:t xml:space="preserve">58.8</w:t>
            </w:r>
          </w:p>
        </w:tc>
        <w:tc>
          <w:tcPr/>
          <w:p>
            <w:pPr>
              <w:pStyle w:val="Compact"/>
              <w:jc w:val="left"/>
            </w:pPr>
            <w:r>
              <w:t xml:space="preserve">16.8</w:t>
            </w:r>
          </w:p>
        </w:tc>
        <w:tc>
          <w:tcPr/>
          <w:p>
            <w:pPr>
              <w:pStyle w:val="Compact"/>
              <w:jc w:val="left"/>
            </w:pPr>
            <w:r>
              <w:t xml:space="preserve">7.5</w:t>
            </w:r>
          </w:p>
        </w:tc>
        <w:tc>
          <w:tcPr/>
          <w:p>
            <w:pPr>
              <w:pStyle w:val="Compact"/>
              <w:jc w:val="left"/>
            </w:pPr>
            <w:r>
              <w:t xml:space="preserve">17.1</w:t>
            </w:r>
          </w:p>
        </w:tc>
        <w:tc>
          <w:tcPr/>
          <w:p>
            <w:pPr>
              <w:pStyle w:val="Compact"/>
              <w:jc w:val="left"/>
            </w:pPr>
            <w:r>
              <w:t xml:space="preserve">8.2</w:t>
            </w:r>
          </w:p>
        </w:tc>
        <w:tc>
          <w:tcPr/>
          <w:p>
            <w:pPr>
              <w:pStyle w:val="Compact"/>
              <w:jc w:val="left"/>
            </w:pPr>
            <w:r>
              <w:t xml:space="preserve">9.2</w:t>
            </w:r>
          </w:p>
        </w:tc>
      </w:tr>
      <w:tr>
        <w:tc>
          <w:tcPr/>
          <w:p>
            <w:pPr>
              <w:pStyle w:val="Compact"/>
              <w:jc w:val="left"/>
            </w:pPr>
            <w:r>
              <w:t xml:space="preserve">13</w:t>
            </w:r>
          </w:p>
        </w:tc>
        <w:tc>
          <w:tcPr/>
          <w:p>
            <w:pPr>
              <w:pStyle w:val="Compact"/>
              <w:jc w:val="left"/>
            </w:pPr>
            <w:r>
              <w:t xml:space="preserve">Central Coast</w:t>
            </w:r>
          </w:p>
        </w:tc>
        <w:tc>
          <w:tcPr/>
          <w:p>
            <w:pPr>
              <w:pStyle w:val="Compact"/>
              <w:jc w:val="left"/>
            </w:pPr>
            <w:r>
              <w:t xml:space="preserve">NSW</w:t>
            </w:r>
          </w:p>
        </w:tc>
        <w:tc>
          <w:tcPr/>
          <w:p>
            <w:pPr>
              <w:pStyle w:val="Compact"/>
              <w:jc w:val="left"/>
            </w:pPr>
            <w:r>
              <w:t xml:space="preserve">58.5</w:t>
            </w:r>
          </w:p>
        </w:tc>
        <w:tc>
          <w:tcPr/>
          <w:p>
            <w:pPr>
              <w:pStyle w:val="Compact"/>
              <w:jc w:val="left"/>
            </w:pPr>
            <w:r>
              <w:t xml:space="preserve">15.4</w:t>
            </w:r>
          </w:p>
        </w:tc>
        <w:tc>
          <w:tcPr/>
          <w:p>
            <w:pPr>
              <w:pStyle w:val="Compact"/>
              <w:jc w:val="left"/>
            </w:pPr>
            <w:r>
              <w:t xml:space="preserve">10.7</w:t>
            </w:r>
          </w:p>
        </w:tc>
        <w:tc>
          <w:tcPr/>
          <w:p>
            <w:pPr>
              <w:pStyle w:val="Compact"/>
              <w:jc w:val="left"/>
            </w:pPr>
            <w:r>
              <w:t xml:space="preserve">12.2</w:t>
            </w:r>
          </w:p>
        </w:tc>
        <w:tc>
          <w:tcPr/>
          <w:p>
            <w:pPr>
              <w:pStyle w:val="Compact"/>
              <w:jc w:val="left"/>
            </w:pPr>
            <w:r>
              <w:t xml:space="preserve">11.1</w:t>
            </w:r>
          </w:p>
        </w:tc>
        <w:tc>
          <w:tcPr/>
          <w:p>
            <w:pPr>
              <w:pStyle w:val="Compact"/>
              <w:jc w:val="left"/>
            </w:pPr>
            <w:r>
              <w:t xml:space="preserve">9.2</w:t>
            </w:r>
          </w:p>
        </w:tc>
      </w:tr>
      <w:tr>
        <w:tc>
          <w:tcPr/>
          <w:p>
            <w:pPr>
              <w:pStyle w:val="Compact"/>
              <w:jc w:val="left"/>
            </w:pPr>
            <w:r>
              <w:t xml:space="preserve">14</w:t>
            </w:r>
          </w:p>
        </w:tc>
        <w:tc>
          <w:tcPr/>
          <w:p>
            <w:pPr>
              <w:pStyle w:val="Compact"/>
              <w:jc w:val="left"/>
            </w:pPr>
            <w:r>
              <w:t xml:space="preserve">Perth</w:t>
            </w:r>
          </w:p>
        </w:tc>
        <w:tc>
          <w:tcPr/>
          <w:p>
            <w:pPr>
              <w:pStyle w:val="Compact"/>
              <w:jc w:val="left"/>
            </w:pPr>
            <w:r>
              <w:t xml:space="preserve">WA</w:t>
            </w:r>
          </w:p>
        </w:tc>
        <w:tc>
          <w:tcPr/>
          <w:p>
            <w:pPr>
              <w:pStyle w:val="Compact"/>
              <w:jc w:val="left"/>
            </w:pPr>
            <w:r>
              <w:t xml:space="preserve">57.9</w:t>
            </w:r>
          </w:p>
        </w:tc>
        <w:tc>
          <w:tcPr/>
          <w:p>
            <w:pPr>
              <w:pStyle w:val="Compact"/>
              <w:jc w:val="left"/>
            </w:pPr>
            <w:r>
              <w:t xml:space="preserve">15.7</w:t>
            </w:r>
          </w:p>
        </w:tc>
        <w:tc>
          <w:tcPr/>
          <w:p>
            <w:pPr>
              <w:pStyle w:val="Compact"/>
              <w:jc w:val="left"/>
            </w:pPr>
            <w:r>
              <w:t xml:space="preserve">14.3</w:t>
            </w:r>
          </w:p>
        </w:tc>
        <w:tc>
          <w:tcPr/>
          <w:p>
            <w:pPr>
              <w:pStyle w:val="Compact"/>
              <w:jc w:val="left"/>
            </w:pPr>
            <w:r>
              <w:t xml:space="preserve">8.1</w:t>
            </w:r>
          </w:p>
        </w:tc>
        <w:tc>
          <w:tcPr/>
          <w:p>
            <w:pPr>
              <w:pStyle w:val="Compact"/>
              <w:jc w:val="left"/>
            </w:pPr>
            <w:r>
              <w:t xml:space="preserve">10.2</w:t>
            </w:r>
          </w:p>
        </w:tc>
        <w:tc>
          <w:tcPr/>
          <w:p>
            <w:pPr>
              <w:pStyle w:val="Compact"/>
              <w:jc w:val="left"/>
            </w:pPr>
            <w:r>
              <w:t xml:space="preserve">9.6</w:t>
            </w:r>
          </w:p>
        </w:tc>
      </w:tr>
      <w:tr>
        <w:tc>
          <w:tcPr/>
          <w:p>
            <w:pPr>
              <w:pStyle w:val="Compact"/>
              <w:jc w:val="left"/>
            </w:pPr>
            <w:r>
              <w:t xml:space="preserve">15</w:t>
            </w:r>
          </w:p>
        </w:tc>
        <w:tc>
          <w:tcPr/>
          <w:p>
            <w:pPr>
              <w:pStyle w:val="Compact"/>
              <w:jc w:val="left"/>
            </w:pPr>
            <w:r>
              <w:t xml:space="preserve">Hobart</w:t>
            </w:r>
          </w:p>
        </w:tc>
        <w:tc>
          <w:tcPr/>
          <w:p>
            <w:pPr>
              <w:pStyle w:val="Compact"/>
              <w:jc w:val="left"/>
            </w:pPr>
            <w:r>
              <w:t xml:space="preserve">TAS</w:t>
            </w:r>
          </w:p>
        </w:tc>
        <w:tc>
          <w:tcPr/>
          <w:p>
            <w:pPr>
              <w:pStyle w:val="Compact"/>
              <w:jc w:val="left"/>
            </w:pPr>
            <w:r>
              <w:t xml:space="preserve">57.7</w:t>
            </w:r>
          </w:p>
        </w:tc>
        <w:tc>
          <w:tcPr/>
          <w:p>
            <w:pPr>
              <w:pStyle w:val="Compact"/>
              <w:jc w:val="left"/>
            </w:pPr>
            <w:r>
              <w:t xml:space="preserve">23.0</w:t>
            </w:r>
          </w:p>
        </w:tc>
        <w:tc>
          <w:tcPr/>
          <w:p>
            <w:pPr>
              <w:pStyle w:val="Compact"/>
              <w:jc w:val="left"/>
            </w:pPr>
            <w:r>
              <w:t xml:space="preserve">11.8</w:t>
            </w:r>
          </w:p>
        </w:tc>
        <w:tc>
          <w:tcPr/>
          <w:p>
            <w:pPr>
              <w:pStyle w:val="Compact"/>
              <w:jc w:val="left"/>
            </w:pPr>
            <w:r>
              <w:t xml:space="preserve">8.5</w:t>
            </w:r>
          </w:p>
        </w:tc>
        <w:tc>
          <w:tcPr/>
          <w:p>
            <w:pPr>
              <w:pStyle w:val="Compact"/>
              <w:jc w:val="left"/>
            </w:pPr>
            <w:r>
              <w:t xml:space="preserve">7.7</w:t>
            </w:r>
          </w:p>
        </w:tc>
        <w:tc>
          <w:tcPr/>
          <w:p>
            <w:pPr>
              <w:pStyle w:val="Compact"/>
              <w:jc w:val="left"/>
            </w:pPr>
            <w:r>
              <w:t xml:space="preserve">6.7</w:t>
            </w:r>
          </w:p>
        </w:tc>
      </w:tr>
      <w:tr>
        <w:tc>
          <w:tcPr/>
          <w:p>
            <w:pPr>
              <w:pStyle w:val="Compact"/>
              <w:jc w:val="left"/>
            </w:pPr>
            <w:r>
              <w:t xml:space="preserve">16</w:t>
            </w:r>
          </w:p>
        </w:tc>
        <w:tc>
          <w:tcPr/>
          <w:p>
            <w:pPr>
              <w:pStyle w:val="Compact"/>
              <w:jc w:val="left"/>
            </w:pPr>
            <w:r>
              <w:t xml:space="preserve">Townsville</w:t>
            </w:r>
          </w:p>
        </w:tc>
        <w:tc>
          <w:tcPr/>
          <w:p>
            <w:pPr>
              <w:pStyle w:val="Compact"/>
              <w:jc w:val="left"/>
            </w:pPr>
            <w:r>
              <w:t xml:space="preserve">QLD</w:t>
            </w:r>
          </w:p>
        </w:tc>
        <w:tc>
          <w:tcPr/>
          <w:p>
            <w:pPr>
              <w:pStyle w:val="Compact"/>
              <w:jc w:val="left"/>
            </w:pPr>
            <w:r>
              <w:t xml:space="preserve">57.2</w:t>
            </w:r>
          </w:p>
        </w:tc>
        <w:tc>
          <w:tcPr/>
          <w:p>
            <w:pPr>
              <w:pStyle w:val="Compact"/>
              <w:jc w:val="left"/>
            </w:pPr>
            <w:r>
              <w:t xml:space="preserve">12.2</w:t>
            </w:r>
          </w:p>
        </w:tc>
        <w:tc>
          <w:tcPr/>
          <w:p>
            <w:pPr>
              <w:pStyle w:val="Compact"/>
              <w:jc w:val="left"/>
            </w:pPr>
            <w:r>
              <w:t xml:space="preserve">7.5</w:t>
            </w:r>
          </w:p>
        </w:tc>
        <w:tc>
          <w:tcPr/>
          <w:p>
            <w:pPr>
              <w:pStyle w:val="Compact"/>
              <w:jc w:val="left"/>
            </w:pPr>
            <w:r>
              <w:t xml:space="preserve">19.4</w:t>
            </w:r>
          </w:p>
        </w:tc>
        <w:tc>
          <w:tcPr/>
          <w:p>
            <w:pPr>
              <w:pStyle w:val="Compact"/>
              <w:jc w:val="left"/>
            </w:pPr>
            <w:r>
              <w:t xml:space="preserve">8.8</w:t>
            </w:r>
          </w:p>
        </w:tc>
        <w:tc>
          <w:tcPr/>
          <w:p>
            <w:pPr>
              <w:pStyle w:val="Compact"/>
              <w:jc w:val="left"/>
            </w:pPr>
            <w:r>
              <w:t xml:space="preserve">9.2</w:t>
            </w:r>
          </w:p>
        </w:tc>
      </w:tr>
      <w:tr>
        <w:tc>
          <w:tcPr/>
          <w:p>
            <w:pPr>
              <w:pStyle w:val="Compact"/>
              <w:jc w:val="left"/>
            </w:pPr>
            <w:r>
              <w:t xml:space="preserve">17</w:t>
            </w:r>
          </w:p>
        </w:tc>
        <w:tc>
          <w:tcPr/>
          <w:p>
            <w:pPr>
              <w:pStyle w:val="Compact"/>
              <w:jc w:val="left"/>
            </w:pPr>
            <w:r>
              <w:t xml:space="preserve">Bendigo</w:t>
            </w:r>
          </w:p>
        </w:tc>
        <w:tc>
          <w:tcPr/>
          <w:p>
            <w:pPr>
              <w:pStyle w:val="Compact"/>
              <w:jc w:val="left"/>
            </w:pPr>
            <w:r>
              <w:t xml:space="preserve">VIC</w:t>
            </w:r>
          </w:p>
        </w:tc>
        <w:tc>
          <w:tcPr/>
          <w:p>
            <w:pPr>
              <w:pStyle w:val="Compact"/>
              <w:jc w:val="left"/>
            </w:pPr>
            <w:r>
              <w:t xml:space="preserve">56.5</w:t>
            </w:r>
          </w:p>
        </w:tc>
        <w:tc>
          <w:tcPr/>
          <w:p>
            <w:pPr>
              <w:pStyle w:val="Compact"/>
              <w:jc w:val="left"/>
            </w:pPr>
            <w:r>
              <w:t xml:space="preserve">20.9</w:t>
            </w:r>
          </w:p>
        </w:tc>
        <w:tc>
          <w:tcPr/>
          <w:p>
            <w:pPr>
              <w:pStyle w:val="Compact"/>
              <w:jc w:val="left"/>
            </w:pPr>
            <w:r>
              <w:t xml:space="preserve">7.5</w:t>
            </w:r>
          </w:p>
        </w:tc>
        <w:tc>
          <w:tcPr/>
          <w:p>
            <w:pPr>
              <w:pStyle w:val="Compact"/>
              <w:jc w:val="left"/>
            </w:pPr>
            <w:r>
              <w:t xml:space="preserve">15.2</w:t>
            </w:r>
          </w:p>
        </w:tc>
        <w:tc>
          <w:tcPr/>
          <w:p>
            <w:pPr>
              <w:pStyle w:val="Compact"/>
              <w:jc w:val="left"/>
            </w:pPr>
            <w:r>
              <w:t xml:space="preserve">2.9</w:t>
            </w:r>
          </w:p>
        </w:tc>
        <w:tc>
          <w:tcPr/>
          <w:p>
            <w:pPr>
              <w:pStyle w:val="Compact"/>
              <w:jc w:val="left"/>
            </w:pPr>
            <w:r>
              <w:t xml:space="preserve">10.0</w:t>
            </w:r>
          </w:p>
        </w:tc>
      </w:tr>
      <w:tr>
        <w:tc>
          <w:tcPr/>
          <w:p>
            <w:pPr>
              <w:pStyle w:val="Compact"/>
              <w:jc w:val="left"/>
            </w:pPr>
            <w:r>
              <w:t xml:space="preserve">18</w:t>
            </w:r>
          </w:p>
        </w:tc>
        <w:tc>
          <w:tcPr/>
          <w:p>
            <w:pPr>
              <w:pStyle w:val="Compact"/>
              <w:jc w:val="left"/>
            </w:pPr>
            <w:r>
              <w:t xml:space="preserve">Wollongong</w:t>
            </w:r>
          </w:p>
        </w:tc>
        <w:tc>
          <w:tcPr/>
          <w:p>
            <w:pPr>
              <w:pStyle w:val="Compact"/>
              <w:jc w:val="left"/>
            </w:pPr>
            <w:r>
              <w:t xml:space="preserve">NSW</w:t>
            </w:r>
          </w:p>
        </w:tc>
        <w:tc>
          <w:tcPr/>
          <w:p>
            <w:pPr>
              <w:pStyle w:val="Compact"/>
              <w:jc w:val="left"/>
            </w:pPr>
            <w:r>
              <w:t xml:space="preserve">55.9</w:t>
            </w:r>
          </w:p>
        </w:tc>
        <w:tc>
          <w:tcPr/>
          <w:p>
            <w:pPr>
              <w:pStyle w:val="Compact"/>
              <w:jc w:val="left"/>
            </w:pPr>
            <w:r>
              <w:t xml:space="preserve">13.4</w:t>
            </w:r>
          </w:p>
        </w:tc>
        <w:tc>
          <w:tcPr/>
          <w:p>
            <w:pPr>
              <w:pStyle w:val="Compact"/>
              <w:jc w:val="left"/>
            </w:pPr>
            <w:r>
              <w:t xml:space="preserve">10.7</w:t>
            </w:r>
          </w:p>
        </w:tc>
        <w:tc>
          <w:tcPr/>
          <w:p>
            <w:pPr>
              <w:pStyle w:val="Compact"/>
              <w:jc w:val="left"/>
            </w:pPr>
            <w:r>
              <w:t xml:space="preserve">13.0</w:t>
            </w:r>
          </w:p>
        </w:tc>
        <w:tc>
          <w:tcPr/>
          <w:p>
            <w:pPr>
              <w:pStyle w:val="Compact"/>
              <w:jc w:val="left"/>
            </w:pPr>
            <w:r>
              <w:t xml:space="preserve">9.7</w:t>
            </w:r>
          </w:p>
        </w:tc>
        <w:tc>
          <w:tcPr/>
          <w:p>
            <w:pPr>
              <w:pStyle w:val="Compact"/>
              <w:jc w:val="left"/>
            </w:pPr>
            <w:r>
              <w:t xml:space="preserve">9.2</w:t>
            </w:r>
          </w:p>
        </w:tc>
      </w:tr>
      <w:tr>
        <w:tc>
          <w:tcPr/>
          <w:p>
            <w:pPr>
              <w:pStyle w:val="Compact"/>
              <w:jc w:val="left"/>
            </w:pPr>
            <w:r>
              <w:t xml:space="preserve">19</w:t>
            </w:r>
          </w:p>
        </w:tc>
        <w:tc>
          <w:tcPr/>
          <w:p>
            <w:pPr>
              <w:pStyle w:val="Compact"/>
              <w:jc w:val="left"/>
            </w:pPr>
            <w:r>
              <w:t xml:space="preserve">Rockhampton</w:t>
            </w:r>
          </w:p>
        </w:tc>
        <w:tc>
          <w:tcPr/>
          <w:p>
            <w:pPr>
              <w:pStyle w:val="Compact"/>
              <w:jc w:val="left"/>
            </w:pPr>
            <w:r>
              <w:t xml:space="preserve">QLD</w:t>
            </w:r>
          </w:p>
        </w:tc>
        <w:tc>
          <w:tcPr/>
          <w:p>
            <w:pPr>
              <w:pStyle w:val="Compact"/>
              <w:jc w:val="left"/>
            </w:pPr>
            <w:r>
              <w:t xml:space="preserve">46.7</w:t>
            </w:r>
          </w:p>
        </w:tc>
        <w:tc>
          <w:tcPr/>
          <w:p>
            <w:pPr>
              <w:pStyle w:val="Compact"/>
              <w:jc w:val="left"/>
            </w:pPr>
            <w:r>
              <w:t xml:space="preserve">7.0</w:t>
            </w:r>
          </w:p>
        </w:tc>
        <w:tc>
          <w:tcPr/>
          <w:p>
            <w:pPr>
              <w:pStyle w:val="Compact"/>
              <w:jc w:val="left"/>
            </w:pPr>
            <w:r>
              <w:t xml:space="preserve">0.0</w:t>
            </w:r>
          </w:p>
        </w:tc>
        <w:tc>
          <w:tcPr/>
          <w:p>
            <w:pPr>
              <w:pStyle w:val="Compact"/>
              <w:jc w:val="left"/>
            </w:pPr>
            <w:r>
              <w:t xml:space="preserve">20.8</w:t>
            </w:r>
          </w:p>
        </w:tc>
        <w:tc>
          <w:tcPr/>
          <w:p>
            <w:pPr>
              <w:pStyle w:val="Compact"/>
              <w:jc w:val="left"/>
            </w:pPr>
            <w:r>
              <w:t xml:space="preserve">9.7</w:t>
            </w:r>
          </w:p>
        </w:tc>
        <w:tc>
          <w:tcPr/>
          <w:p>
            <w:pPr>
              <w:pStyle w:val="Compact"/>
              <w:jc w:val="left"/>
            </w:pPr>
            <w:r>
              <w:t xml:space="preserve">9.2</w:t>
            </w:r>
          </w:p>
        </w:tc>
      </w:tr>
      <w:tr>
        <w:tc>
          <w:tcPr/>
          <w:p>
            <w:pPr>
              <w:pStyle w:val="Compact"/>
              <w:jc w:val="left"/>
            </w:pPr>
            <w:r>
              <w:t xml:space="preserve">20</w:t>
            </w:r>
          </w:p>
        </w:tc>
        <w:tc>
          <w:tcPr/>
          <w:p>
            <w:pPr>
              <w:pStyle w:val="Compact"/>
              <w:jc w:val="left"/>
            </w:pPr>
            <w:r>
              <w:t xml:space="preserve">Mackay</w:t>
            </w:r>
          </w:p>
        </w:tc>
        <w:tc>
          <w:tcPr/>
          <w:p>
            <w:pPr>
              <w:pStyle w:val="Compact"/>
              <w:jc w:val="left"/>
            </w:pPr>
            <w:r>
              <w:t xml:space="preserve">QLD</w:t>
            </w:r>
          </w:p>
        </w:tc>
        <w:tc>
          <w:tcPr/>
          <w:p>
            <w:pPr>
              <w:pStyle w:val="Compact"/>
              <w:jc w:val="left"/>
            </w:pPr>
            <w:r>
              <w:t xml:space="preserve">46.6</w:t>
            </w:r>
          </w:p>
        </w:tc>
        <w:tc>
          <w:tcPr/>
          <w:p>
            <w:pPr>
              <w:pStyle w:val="Compact"/>
              <w:jc w:val="left"/>
            </w:pPr>
            <w:r>
              <w:t xml:space="preserve">8.3</w:t>
            </w:r>
          </w:p>
        </w:tc>
        <w:tc>
          <w:tcPr/>
          <w:p>
            <w:pPr>
              <w:pStyle w:val="Compact"/>
              <w:jc w:val="left"/>
            </w:pPr>
            <w:r>
              <w:t xml:space="preserve">5.0</w:t>
            </w:r>
          </w:p>
        </w:tc>
        <w:tc>
          <w:tcPr/>
          <w:p>
            <w:pPr>
              <w:pStyle w:val="Compact"/>
              <w:jc w:val="left"/>
            </w:pPr>
            <w:r>
              <w:t xml:space="preserve">20.8</w:t>
            </w:r>
          </w:p>
        </w:tc>
        <w:tc>
          <w:tcPr/>
          <w:p>
            <w:pPr>
              <w:pStyle w:val="Compact"/>
              <w:jc w:val="left"/>
            </w:pPr>
            <w:r>
              <w:t xml:space="preserve">3.3</w:t>
            </w:r>
          </w:p>
        </w:tc>
        <w:tc>
          <w:tcPr/>
          <w:p>
            <w:pPr>
              <w:pStyle w:val="Compact"/>
              <w:jc w:val="left"/>
            </w:pPr>
            <w:r>
              <w:t xml:space="preserve">9.2</w:t>
            </w:r>
          </w:p>
        </w:tc>
      </w:tr>
      <w:tr>
        <w:tc>
          <w:tcPr/>
          <w:p>
            <w:pPr>
              <w:pStyle w:val="Compact"/>
              <w:jc w:val="left"/>
            </w:pPr>
            <w:r>
              <w:t xml:space="preserve">21</w:t>
            </w:r>
          </w:p>
        </w:tc>
        <w:tc>
          <w:tcPr/>
          <w:p>
            <w:pPr>
              <w:pStyle w:val="Compact"/>
              <w:jc w:val="left"/>
            </w:pPr>
            <w:r>
              <w:t xml:space="preserve">Coffs Harbour</w:t>
            </w:r>
          </w:p>
        </w:tc>
        <w:tc>
          <w:tcPr/>
          <w:p>
            <w:pPr>
              <w:pStyle w:val="Compact"/>
              <w:jc w:val="left"/>
            </w:pPr>
            <w:r>
              <w:t xml:space="preserve">NSW</w:t>
            </w:r>
          </w:p>
        </w:tc>
        <w:tc>
          <w:tcPr/>
          <w:p>
            <w:pPr>
              <w:pStyle w:val="Compact"/>
              <w:jc w:val="left"/>
            </w:pPr>
            <w:r>
              <w:t xml:space="preserve">44.3</w:t>
            </w:r>
          </w:p>
        </w:tc>
        <w:tc>
          <w:tcPr/>
          <w:p>
            <w:pPr>
              <w:pStyle w:val="Compact"/>
              <w:jc w:val="left"/>
            </w:pPr>
            <w:r>
              <w:t xml:space="preserve">12.8</w:t>
            </w:r>
          </w:p>
        </w:tc>
        <w:tc>
          <w:tcPr/>
          <w:p>
            <w:pPr>
              <w:pStyle w:val="Compact"/>
              <w:jc w:val="left"/>
            </w:pPr>
            <w:r>
              <w:t xml:space="preserve">5.0</w:t>
            </w:r>
          </w:p>
        </w:tc>
        <w:tc>
          <w:tcPr/>
          <w:p>
            <w:pPr>
              <w:pStyle w:val="Compact"/>
              <w:jc w:val="left"/>
            </w:pPr>
            <w:r>
              <w:t xml:space="preserve">15.3</w:t>
            </w:r>
          </w:p>
        </w:tc>
        <w:tc>
          <w:tcPr/>
          <w:p>
            <w:pPr>
              <w:pStyle w:val="Compact"/>
              <w:jc w:val="left"/>
            </w:pPr>
            <w:r>
              <w:t xml:space="preserve">2.0</w:t>
            </w:r>
          </w:p>
        </w:tc>
        <w:tc>
          <w:tcPr/>
          <w:p>
            <w:pPr>
              <w:pStyle w:val="Compact"/>
              <w:jc w:val="left"/>
            </w:pPr>
            <w:r>
              <w:t xml:space="preserve">9.2</w:t>
            </w:r>
          </w:p>
        </w:tc>
      </w:tr>
      <w:tr>
        <w:tc>
          <w:tcPr/>
          <w:p>
            <w:pPr>
              <w:pStyle w:val="Compact"/>
              <w:jc w:val="left"/>
            </w:pPr>
            <w:r>
              <w:t xml:space="preserve">22</w:t>
            </w:r>
          </w:p>
        </w:tc>
        <w:tc>
          <w:tcPr/>
          <w:p>
            <w:pPr>
              <w:pStyle w:val="Compact"/>
              <w:jc w:val="left"/>
            </w:pPr>
            <w:r>
              <w:t xml:space="preserve">Toowoomba</w:t>
            </w:r>
          </w:p>
        </w:tc>
        <w:tc>
          <w:tcPr/>
          <w:p>
            <w:pPr>
              <w:pStyle w:val="Compact"/>
              <w:jc w:val="left"/>
            </w:pPr>
            <w:r>
              <w:t xml:space="preserve">QLD</w:t>
            </w:r>
          </w:p>
        </w:tc>
        <w:tc>
          <w:tcPr/>
          <w:p>
            <w:pPr>
              <w:pStyle w:val="Compact"/>
              <w:jc w:val="left"/>
            </w:pPr>
            <w:r>
              <w:t xml:space="preserve">42.2</w:t>
            </w:r>
          </w:p>
        </w:tc>
        <w:tc>
          <w:tcPr/>
          <w:p>
            <w:pPr>
              <w:pStyle w:val="Compact"/>
              <w:jc w:val="left"/>
            </w:pPr>
            <w:r>
              <w:t xml:space="preserve">1.4</w:t>
            </w:r>
          </w:p>
        </w:tc>
        <w:tc>
          <w:tcPr/>
          <w:p>
            <w:pPr>
              <w:pStyle w:val="Compact"/>
              <w:jc w:val="left"/>
            </w:pPr>
            <w:r>
              <w:t xml:space="preserve">0.0</w:t>
            </w:r>
          </w:p>
        </w:tc>
        <w:tc>
          <w:tcPr/>
          <w:p>
            <w:pPr>
              <w:pStyle w:val="Compact"/>
              <w:jc w:val="left"/>
            </w:pPr>
            <w:r>
              <w:t xml:space="preserve">21.7</w:t>
            </w:r>
          </w:p>
        </w:tc>
        <w:tc>
          <w:tcPr/>
          <w:p>
            <w:pPr>
              <w:pStyle w:val="Compact"/>
              <w:jc w:val="left"/>
            </w:pPr>
            <w:r>
              <w:t xml:space="preserve">9.9</w:t>
            </w:r>
          </w:p>
        </w:tc>
        <w:tc>
          <w:tcPr/>
          <w:p>
            <w:pPr>
              <w:pStyle w:val="Compact"/>
              <w:jc w:val="left"/>
            </w:pPr>
            <w:r>
              <w:t xml:space="preserve">9.2</w:t>
            </w:r>
          </w:p>
        </w:tc>
      </w:tr>
      <w:tr>
        <w:tc>
          <w:tcPr/>
          <w:p>
            <w:pPr>
              <w:pStyle w:val="Compact"/>
              <w:jc w:val="left"/>
            </w:pPr>
            <w:r>
              <w:t xml:space="preserve">23</w:t>
            </w:r>
          </w:p>
        </w:tc>
        <w:tc>
          <w:tcPr/>
          <w:p>
            <w:pPr>
              <w:pStyle w:val="Compact"/>
              <w:jc w:val="left"/>
            </w:pPr>
            <w:r>
              <w:t xml:space="preserve">Bunbury</w:t>
            </w:r>
          </w:p>
        </w:tc>
        <w:tc>
          <w:tcPr/>
          <w:p>
            <w:pPr>
              <w:pStyle w:val="Compact"/>
              <w:jc w:val="left"/>
            </w:pPr>
            <w:r>
              <w:t xml:space="preserve">WA</w:t>
            </w:r>
          </w:p>
        </w:tc>
        <w:tc>
          <w:tcPr/>
          <w:p>
            <w:pPr>
              <w:pStyle w:val="Compact"/>
              <w:jc w:val="left"/>
            </w:pPr>
            <w:r>
              <w:t xml:space="preserve">40.8</w:t>
            </w:r>
          </w:p>
        </w:tc>
        <w:tc>
          <w:tcPr/>
          <w:p>
            <w:pPr>
              <w:pStyle w:val="Compact"/>
              <w:jc w:val="left"/>
            </w:pPr>
            <w:r>
              <w:t xml:space="preserve">18.4</w:t>
            </w:r>
          </w:p>
        </w:tc>
        <w:tc>
          <w:tcPr/>
          <w:p>
            <w:pPr>
              <w:pStyle w:val="Compact"/>
              <w:jc w:val="left"/>
            </w:pPr>
            <w:r>
              <w:t xml:space="preserve">5.0</w:t>
            </w:r>
          </w:p>
        </w:tc>
        <w:tc>
          <w:tcPr/>
          <w:p>
            <w:pPr>
              <w:pStyle w:val="Compact"/>
              <w:jc w:val="left"/>
            </w:pPr>
            <w:r>
              <w:t xml:space="preserve">4.3</w:t>
            </w:r>
          </w:p>
        </w:tc>
        <w:tc>
          <w:tcPr/>
          <w:p>
            <w:pPr>
              <w:pStyle w:val="Compact"/>
              <w:jc w:val="left"/>
            </w:pPr>
            <w:r>
              <w:t xml:space="preserve">3.5</w:t>
            </w:r>
          </w:p>
        </w:tc>
        <w:tc>
          <w:tcPr/>
          <w:p>
            <w:pPr>
              <w:pStyle w:val="Compact"/>
              <w:jc w:val="left"/>
            </w:pPr>
            <w:r>
              <w:t xml:space="preserve">9.6</w:t>
            </w:r>
          </w:p>
        </w:tc>
      </w:tr>
      <w:tr>
        <w:tc>
          <w:tcPr/>
          <w:p>
            <w:pPr>
              <w:pStyle w:val="Compact"/>
              <w:jc w:val="left"/>
            </w:pPr>
            <w:r>
              <w:t xml:space="preserve">24</w:t>
            </w:r>
          </w:p>
        </w:tc>
        <w:tc>
          <w:tcPr/>
          <w:p>
            <w:pPr>
              <w:pStyle w:val="Compact"/>
              <w:jc w:val="left"/>
            </w:pPr>
            <w:r>
              <w:t xml:space="preserve">Launceston</w:t>
            </w:r>
          </w:p>
        </w:tc>
        <w:tc>
          <w:tcPr/>
          <w:p>
            <w:pPr>
              <w:pStyle w:val="Compact"/>
              <w:jc w:val="left"/>
            </w:pPr>
            <w:r>
              <w:t xml:space="preserve">TAS</w:t>
            </w:r>
          </w:p>
        </w:tc>
        <w:tc>
          <w:tcPr/>
          <w:p>
            <w:pPr>
              <w:pStyle w:val="Compact"/>
              <w:jc w:val="left"/>
            </w:pPr>
            <w:r>
              <w:t xml:space="preserve">39.9</w:t>
            </w:r>
          </w:p>
        </w:tc>
        <w:tc>
          <w:tcPr/>
          <w:p>
            <w:pPr>
              <w:pStyle w:val="Compact"/>
              <w:jc w:val="left"/>
            </w:pPr>
            <w:r>
              <w:t xml:space="preserve">16.8</w:t>
            </w:r>
          </w:p>
        </w:tc>
        <w:tc>
          <w:tcPr/>
          <w:p>
            <w:pPr>
              <w:pStyle w:val="Compact"/>
              <w:jc w:val="left"/>
            </w:pPr>
            <w:r>
              <w:t xml:space="preserve">0.0</w:t>
            </w:r>
          </w:p>
        </w:tc>
        <w:tc>
          <w:tcPr/>
          <w:p>
            <w:pPr>
              <w:pStyle w:val="Compact"/>
              <w:jc w:val="left"/>
            </w:pPr>
            <w:r>
              <w:t xml:space="preserve">8.7</w:t>
            </w:r>
          </w:p>
        </w:tc>
        <w:tc>
          <w:tcPr/>
          <w:p>
            <w:pPr>
              <w:pStyle w:val="Compact"/>
              <w:jc w:val="left"/>
            </w:pPr>
            <w:r>
              <w:t xml:space="preserve">7.7</w:t>
            </w:r>
          </w:p>
        </w:tc>
        <w:tc>
          <w:tcPr/>
          <w:p>
            <w:pPr>
              <w:pStyle w:val="Compact"/>
              <w:jc w:val="left"/>
            </w:pPr>
            <w:r>
              <w:t xml:space="preserve">6.7</w:t>
            </w:r>
          </w:p>
        </w:tc>
      </w:tr>
      <w:tr>
        <w:tc>
          <w:tcPr/>
          <w:p>
            <w:pPr>
              <w:pStyle w:val="Compact"/>
              <w:jc w:val="left"/>
            </w:pPr>
            <w:r>
              <w:t xml:space="preserve">25</w:t>
            </w:r>
          </w:p>
        </w:tc>
        <w:tc>
          <w:tcPr/>
          <w:p>
            <w:pPr>
              <w:pStyle w:val="Compact"/>
              <w:jc w:val="left"/>
            </w:pPr>
            <w:r>
              <w:t xml:space="preserve">Albury-Wodonga</w:t>
            </w:r>
          </w:p>
        </w:tc>
        <w:tc>
          <w:tcPr/>
          <w:p>
            <w:pPr>
              <w:pStyle w:val="Compact"/>
              <w:jc w:val="left"/>
            </w:pPr>
            <w:r>
              <w:t xml:space="preserve">NSW</w:t>
            </w:r>
          </w:p>
        </w:tc>
        <w:tc>
          <w:tcPr/>
          <w:p>
            <w:pPr>
              <w:pStyle w:val="Compact"/>
              <w:jc w:val="left"/>
            </w:pPr>
            <w:r>
              <w:t xml:space="preserve">36.6</w:t>
            </w:r>
          </w:p>
        </w:tc>
        <w:tc>
          <w:tcPr/>
          <w:p>
            <w:pPr>
              <w:pStyle w:val="Compact"/>
              <w:jc w:val="left"/>
            </w:pPr>
            <w:r>
              <w:t xml:space="preserve">12.0</w:t>
            </w:r>
          </w:p>
        </w:tc>
        <w:tc>
          <w:tcPr/>
          <w:p>
            <w:pPr>
              <w:pStyle w:val="Compact"/>
              <w:jc w:val="left"/>
            </w:pPr>
            <w:r>
              <w:t xml:space="preserve">0.0</w:t>
            </w:r>
          </w:p>
        </w:tc>
        <w:tc>
          <w:tcPr/>
          <w:p>
            <w:pPr>
              <w:pStyle w:val="Compact"/>
              <w:jc w:val="left"/>
            </w:pPr>
            <w:r>
              <w:t xml:space="preserve">12.4</w:t>
            </w:r>
          </w:p>
        </w:tc>
        <w:tc>
          <w:tcPr/>
          <w:p>
            <w:pPr>
              <w:pStyle w:val="Compact"/>
              <w:jc w:val="left"/>
            </w:pPr>
            <w:r>
              <w:t xml:space="preserve">3.0</w:t>
            </w:r>
          </w:p>
        </w:tc>
        <w:tc>
          <w:tcPr/>
          <w:p>
            <w:pPr>
              <w:pStyle w:val="Compact"/>
              <w:jc w:val="left"/>
            </w:pPr>
            <w:r>
              <w:t xml:space="preserve">9.2</w:t>
            </w:r>
          </w:p>
        </w:tc>
      </w:tr>
    </w:tbl>
    <w:p>
      <w:pPr>
        <w:pStyle w:val="BodyText"/>
      </w:pPr>
      <w:r>
        <w:rPr>
          <w:iCs/>
          <w:i/>
        </w:rPr>
        <w:t xml:space="preserve">Each city is an ABS Significant Urban Area, suburbs included. Gold Coast includes Tweed Heads, Canberra includes Queanbeyan and Newcastle includes Maitland. Every score is broken down at</w:t>
      </w:r>
      <w:r>
        <w:rPr>
          <w:iCs/>
          <w:i/>
        </w:rPr>
        <w:t xml:space="preserve"> </w:t>
      </w:r>
      <w:hyperlink r:id="rId21">
        <w:r>
          <w:rPr>
            <w:rStyle w:val="Hyperlink"/>
            <w:iCs/>
            <w:i/>
          </w:rPr>
          <w:t xml:space="preserve">erobella.com/research/sexually-liberal-cities-australia</w:t>
        </w:r>
      </w:hyperlink>
      <w:r>
        <w:rPr>
          <w:iCs/>
          <w:i/>
        </w:rPr>
        <w:t xml:space="preserve">.</w:t>
      </w:r>
    </w:p>
    <w:bookmarkEnd w:id="24"/>
    <w:bookmarkStart w:id="25" w:name="sex-work-law-by-state-and-territory"/>
    <w:p>
      <w:pPr>
        <w:pStyle w:val="Heading2"/>
      </w:pPr>
      <w:r>
        <w:t xml:space="preserve">Sex work law by state and territory</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State or territory</w:t>
            </w:r>
          </w:p>
        </w:tc>
        <w:tc>
          <w:tcPr/>
          <w:p>
            <w:pPr>
              <w:pStyle w:val="Compact"/>
              <w:jc w:val="left"/>
            </w:pPr>
            <w:r>
              <w:t xml:space="preserve">Sex work</w:t>
            </w:r>
          </w:p>
        </w:tc>
        <w:tc>
          <w:tcPr/>
          <w:p>
            <w:pPr>
              <w:pStyle w:val="Compact"/>
              <w:jc w:val="left"/>
            </w:pPr>
            <w:r>
              <w:t xml:space="preserve">Sex workers protected from discrimination</w:t>
            </w:r>
          </w:p>
        </w:tc>
        <w:tc>
          <w:tcPr/>
          <w:p>
            <w:pPr>
              <w:pStyle w:val="Compact"/>
              <w:jc w:val="left"/>
            </w:pPr>
            <w:r>
              <w:t xml:space="preserve">Abortion on request</w:t>
            </w:r>
          </w:p>
        </w:tc>
      </w:tr>
      <w:tr>
        <w:tc>
          <w:tcPr/>
          <w:p>
            <w:pPr>
              <w:pStyle w:val="Compact"/>
              <w:jc w:val="left"/>
            </w:pPr>
            <w:r>
              <w:t xml:space="preserve">NSW</w:t>
            </w:r>
          </w:p>
        </w:tc>
        <w:tc>
          <w:tcPr/>
          <w:p>
            <w:pPr>
              <w:pStyle w:val="Compact"/>
              <w:jc w:val="left"/>
            </w:pPr>
            <w:r>
              <w:t xml:space="preserve">Decriminalised</w:t>
            </w:r>
          </w:p>
        </w:tc>
        <w:tc>
          <w:tcPr/>
          <w:p>
            <w:pPr>
              <w:pStyle w:val="Compact"/>
              <w:jc w:val="left"/>
            </w:pPr>
            <w:r>
              <w:t xml:space="preserve">No</w:t>
            </w:r>
          </w:p>
        </w:tc>
        <w:tc>
          <w:tcPr/>
          <w:p>
            <w:pPr>
              <w:pStyle w:val="Compact"/>
              <w:jc w:val="left"/>
            </w:pPr>
            <w:r>
              <w:t xml:space="preserve">On request to 22 weeks</w:t>
            </w:r>
          </w:p>
        </w:tc>
      </w:tr>
      <w:tr>
        <w:tc>
          <w:tcPr/>
          <w:p>
            <w:pPr>
              <w:pStyle w:val="Compact"/>
              <w:jc w:val="left"/>
            </w:pPr>
            <w:r>
              <w:t xml:space="preserve">VIC</w:t>
            </w:r>
          </w:p>
        </w:tc>
        <w:tc>
          <w:tcPr/>
          <w:p>
            <w:pPr>
              <w:pStyle w:val="Compact"/>
              <w:jc w:val="left"/>
            </w:pPr>
            <w:r>
              <w:t xml:space="preserve">Decriminalised</w:t>
            </w:r>
          </w:p>
        </w:tc>
        <w:tc>
          <w:tcPr/>
          <w:p>
            <w:pPr>
              <w:pStyle w:val="Compact"/>
              <w:jc w:val="left"/>
            </w:pPr>
            <w:r>
              <w:t xml:space="preserve">Yes</w:t>
            </w:r>
          </w:p>
        </w:tc>
        <w:tc>
          <w:tcPr/>
          <w:p>
            <w:pPr>
              <w:pStyle w:val="Compact"/>
              <w:jc w:val="left"/>
            </w:pPr>
            <w:r>
              <w:t xml:space="preserve">On request to 24 weeks</w:t>
            </w:r>
          </w:p>
        </w:tc>
      </w:tr>
      <w:tr>
        <w:tc>
          <w:tcPr/>
          <w:p>
            <w:pPr>
              <w:pStyle w:val="Compact"/>
              <w:jc w:val="left"/>
            </w:pPr>
            <w:r>
              <w:t xml:space="preserve">QLD</w:t>
            </w:r>
          </w:p>
        </w:tc>
        <w:tc>
          <w:tcPr/>
          <w:p>
            <w:pPr>
              <w:pStyle w:val="Compact"/>
              <w:jc w:val="left"/>
            </w:pPr>
            <w:r>
              <w:t xml:space="preserve">Decriminalised</w:t>
            </w:r>
          </w:p>
        </w:tc>
        <w:tc>
          <w:tcPr/>
          <w:p>
            <w:pPr>
              <w:pStyle w:val="Compact"/>
              <w:jc w:val="left"/>
            </w:pPr>
            <w:r>
              <w:t xml:space="preserve">Yes</w:t>
            </w:r>
          </w:p>
        </w:tc>
        <w:tc>
          <w:tcPr/>
          <w:p>
            <w:pPr>
              <w:pStyle w:val="Compact"/>
              <w:jc w:val="left"/>
            </w:pPr>
            <w:r>
              <w:t xml:space="preserve">On request to 22 weeks</w:t>
            </w:r>
          </w:p>
        </w:tc>
      </w:tr>
      <w:tr>
        <w:tc>
          <w:tcPr/>
          <w:p>
            <w:pPr>
              <w:pStyle w:val="Compact"/>
              <w:jc w:val="left"/>
            </w:pPr>
            <w:r>
              <w:t xml:space="preserve">WA</w:t>
            </w:r>
          </w:p>
        </w:tc>
        <w:tc>
          <w:tcPr/>
          <w:p>
            <w:pPr>
              <w:pStyle w:val="Compact"/>
              <w:jc w:val="left"/>
            </w:pPr>
            <w:r>
              <w:t xml:space="preserve">Partly criminalised (working alone only)</w:t>
            </w:r>
          </w:p>
        </w:tc>
        <w:tc>
          <w:tcPr/>
          <w:p>
            <w:pPr>
              <w:pStyle w:val="Compact"/>
              <w:jc w:val="left"/>
            </w:pPr>
            <w:r>
              <w:t xml:space="preserve">No</w:t>
            </w:r>
          </w:p>
        </w:tc>
        <w:tc>
          <w:tcPr/>
          <w:p>
            <w:pPr>
              <w:pStyle w:val="Compact"/>
              <w:jc w:val="left"/>
            </w:pPr>
            <w:r>
              <w:t xml:space="preserve">On request to 23 weeks</w:t>
            </w:r>
          </w:p>
        </w:tc>
      </w:tr>
      <w:tr>
        <w:tc>
          <w:tcPr/>
          <w:p>
            <w:pPr>
              <w:pStyle w:val="Compact"/>
              <w:jc w:val="left"/>
            </w:pPr>
            <w:r>
              <w:t xml:space="preserve">SA</w:t>
            </w:r>
          </w:p>
        </w:tc>
        <w:tc>
          <w:tcPr/>
          <w:p>
            <w:pPr>
              <w:pStyle w:val="Compact"/>
              <w:jc w:val="left"/>
            </w:pPr>
            <w:r>
              <w:t xml:space="preserve">Criminalised</w:t>
            </w:r>
          </w:p>
        </w:tc>
        <w:tc>
          <w:tcPr/>
          <w:p>
            <w:pPr>
              <w:pStyle w:val="Compact"/>
              <w:jc w:val="left"/>
            </w:pPr>
            <w:r>
              <w:t xml:space="preserve">No</w:t>
            </w:r>
          </w:p>
        </w:tc>
        <w:tc>
          <w:tcPr/>
          <w:p>
            <w:pPr>
              <w:pStyle w:val="Compact"/>
              <w:jc w:val="left"/>
            </w:pPr>
            <w:r>
              <w:t xml:space="preserve">On request to 22 weeks 6 days</w:t>
            </w:r>
          </w:p>
        </w:tc>
      </w:tr>
      <w:tr>
        <w:tc>
          <w:tcPr/>
          <w:p>
            <w:pPr>
              <w:pStyle w:val="Compact"/>
              <w:jc w:val="left"/>
            </w:pPr>
            <w:r>
              <w:t xml:space="preserve">TAS</w:t>
            </w:r>
          </w:p>
        </w:tc>
        <w:tc>
          <w:tcPr/>
          <w:p>
            <w:pPr>
              <w:pStyle w:val="Compact"/>
              <w:jc w:val="left"/>
            </w:pPr>
            <w:r>
              <w:t xml:space="preserve">Partly criminalised (one or two self-employed workers only)</w:t>
            </w:r>
          </w:p>
        </w:tc>
        <w:tc>
          <w:tcPr/>
          <w:p>
            <w:pPr>
              <w:pStyle w:val="Compact"/>
              <w:jc w:val="left"/>
            </w:pPr>
            <w:r>
              <w:t xml:space="preserve">Partly protected (lawful sex work only)</w:t>
            </w:r>
          </w:p>
        </w:tc>
        <w:tc>
          <w:tcPr/>
          <w:p>
            <w:pPr>
              <w:pStyle w:val="Compact"/>
              <w:jc w:val="left"/>
            </w:pPr>
            <w:r>
              <w:t xml:space="preserve">On request to 16 weeks</w:t>
            </w:r>
          </w:p>
        </w:tc>
      </w:tr>
      <w:tr>
        <w:tc>
          <w:tcPr/>
          <w:p>
            <w:pPr>
              <w:pStyle w:val="Compact"/>
              <w:jc w:val="left"/>
            </w:pPr>
            <w:r>
              <w:t xml:space="preserve">ACT</w:t>
            </w:r>
          </w:p>
        </w:tc>
        <w:tc>
          <w:tcPr/>
          <w:p>
            <w:pPr>
              <w:pStyle w:val="Compact"/>
              <w:jc w:val="left"/>
            </w:pPr>
            <w:r>
              <w:t xml:space="preserve">Legal with licensing and registration</w:t>
            </w:r>
          </w:p>
        </w:tc>
        <w:tc>
          <w:tcPr/>
          <w:p>
            <w:pPr>
              <w:pStyle w:val="Compact"/>
              <w:jc w:val="left"/>
            </w:pPr>
            <w:r>
              <w:t xml:space="preserve">Yes</w:t>
            </w:r>
          </w:p>
        </w:tc>
        <w:tc>
          <w:tcPr/>
          <w:p>
            <w:pPr>
              <w:pStyle w:val="Compact"/>
              <w:jc w:val="left"/>
            </w:pPr>
            <w:r>
              <w:t xml:space="preserve">No gestational limit in law</w:t>
            </w:r>
          </w:p>
        </w:tc>
      </w:tr>
      <w:tr>
        <w:tc>
          <w:tcPr/>
          <w:p>
            <w:pPr>
              <w:pStyle w:val="Compact"/>
              <w:jc w:val="left"/>
            </w:pPr>
            <w:r>
              <w:t xml:space="preserve">NT</w:t>
            </w:r>
          </w:p>
        </w:tc>
        <w:tc>
          <w:tcPr/>
          <w:p>
            <w:pPr>
              <w:pStyle w:val="Compact"/>
              <w:jc w:val="left"/>
            </w:pPr>
            <w:r>
              <w:t xml:space="preserve">Decriminalised</w:t>
            </w:r>
          </w:p>
        </w:tc>
        <w:tc>
          <w:tcPr/>
          <w:p>
            <w:pPr>
              <w:pStyle w:val="Compact"/>
              <w:jc w:val="left"/>
            </w:pPr>
            <w:r>
              <w:t xml:space="preserve">Yes</w:t>
            </w:r>
          </w:p>
        </w:tc>
        <w:tc>
          <w:tcPr/>
          <w:p>
            <w:pPr>
              <w:pStyle w:val="Compact"/>
              <w:jc w:val="left"/>
            </w:pPr>
            <w:r>
              <w:t xml:space="preserve">On request to 24 weeks</w:t>
            </w:r>
          </w:p>
        </w:tc>
      </w:tr>
    </w:tbl>
    <w:p>
      <w:pPr>
        <w:pStyle w:val="BodyText"/>
      </w:pPr>
      <w:r>
        <w:rPr>
          <w:iCs/>
          <w:i/>
        </w:rPr>
        <w:t xml:space="preserve">Law as in force on 26 October 2026.</w:t>
      </w:r>
    </w:p>
    <w:bookmarkEnd w:id="25"/>
    <w:bookmarkStart w:id="26" w:name="comment"/>
    <w:p>
      <w:pPr>
        <w:pStyle w:val="Heading2"/>
      </w:pPr>
      <w:r>
        <w:t xml:space="preserve">Comment</w:t>
      </w:r>
    </w:p>
    <w:p>
      <w:pPr>
        <w:pStyle w:val="FirstParagraph"/>
      </w:pPr>
      <w:r>
        <w:t xml:space="preserve">Brenda Jensen, Head of Data &amp; Research at Erobella, said:</w:t>
      </w:r>
    </w:p>
    <w:p>
      <w:pPr>
        <w:pStyle w:val="BlockText"/>
      </w:pPr>
      <w:r>
        <w:t xml:space="preserve">“People assume Sydney is the country’s party town, and on Oxford Street it is. But a city is more than its best postcode. Melbourne has the scene, the law and the attitudes all pulling in the same direction. The bigger story is the law. A sex worker in Brisbane has protections a sex worker in Adelaide or Perth still doesn’t.</w:t>
      </w:r>
    </w:p>
    <w:p>
      <w:pPr>
        <w:pStyle w:val="BlockText"/>
      </w:pPr>
      <w:r>
        <w:t xml:space="preserve">“Sydney’s result will surprise people. The inner city is as liberal as anywhere in the country, but Sydney is a huge place, and across the whole city fewer people voted Yes in 2017 than almost anywhere else we looked. Melbourne doesn’t have that gap.</w:t>
      </w:r>
    </w:p>
    <w:p>
      <w:pPr>
        <w:pStyle w:val="BlockText"/>
      </w:pPr>
      <w:r>
        <w:t xml:space="preserve">“</w:t>
      </w:r>
      <w:r>
        <w:t xml:space="preserve">We only counted venues we could show were open this year or last, so the counts are a floor. If we’ve missed a bar, a shop or a club, we want to hear about it, and we’ll update the ranking.</w:t>
      </w:r>
      <w:r>
        <w:t xml:space="preserve">”</w:t>
      </w:r>
    </w:p>
    <w:bookmarkEnd w:id="26"/>
    <w:bookmarkStart w:id="32" w:name="notes-to-editors"/>
    <w:p>
      <w:pPr>
        <w:pStyle w:val="Heading2"/>
      </w:pPr>
      <w:r>
        <w:t xml:space="preserve">Notes to editors</w:t>
      </w:r>
    </w:p>
    <w:p>
      <w:pPr>
        <w:numPr>
          <w:ilvl w:val="0"/>
          <w:numId w:val="1002"/>
        </w:numPr>
        <w:pStyle w:val="Compact"/>
      </w:pPr>
      <w:r>
        <w:rPr>
          <w:bCs/>
          <w:b/>
        </w:rPr>
        <w:t xml:space="preserve">The cities.</w:t>
      </w:r>
      <w:r>
        <w:t xml:space="preserve"> </w:t>
      </w:r>
      <w:r>
        <w:t xml:space="preserve">The 25 biggest ABS Significant Urban Areas (ASGS 2021) by 2021 Census population, from Sydney to Coffs Harbour. Populations are ABS estimated resident population at 30 June 2025 (Regional population, 2024-25). Where an urban area crosses a state border, state law follows the side where most people live.</w:t>
      </w:r>
    </w:p>
    <w:p>
      <w:pPr>
        <w:numPr>
          <w:ilvl w:val="0"/>
          <w:numId w:val="1002"/>
        </w:numPr>
        <w:pStyle w:val="Compact"/>
      </w:pPr>
      <w:r>
        <w:rPr>
          <w:bCs/>
          <w:b/>
        </w:rPr>
        <w:t xml:space="preserve">The score.</w:t>
      </w:r>
      <w:r>
        <w:t xml:space="preserve"> </w:t>
      </w:r>
      <w:r>
        <w:t xml:space="preserve">Ten measures in five parts, 100 points in all:</w:t>
      </w:r>
    </w:p>
    <w:p>
      <w:pPr>
        <w:numPr>
          <w:ilvl w:val="1"/>
          <w:numId w:val="1003"/>
        </w:numPr>
        <w:pStyle w:val="Compact"/>
      </w:pPr>
      <w:r>
        <w:rPr>
          <w:bCs/>
          <w:b/>
        </w:rPr>
        <w:t xml:space="preserve">Attitudes, 25:</w:t>
      </w:r>
      <w:r>
        <w:t xml:space="preserve"> </w:t>
      </w:r>
      <w:r>
        <w:t xml:space="preserve">Yes vote in the 2017 Australian Marriage Law Postal Survey (15), matched from federal divisions to each city by population; share with no religion in the 2021 Census (10).</w:t>
      </w:r>
    </w:p>
    <w:p>
      <w:pPr>
        <w:numPr>
          <w:ilvl w:val="1"/>
          <w:numId w:val="1003"/>
        </w:numPr>
        <w:pStyle w:val="Compact"/>
      </w:pPr>
      <w:r>
        <w:rPr>
          <w:bCs/>
          <w:b/>
        </w:rPr>
        <w:t xml:space="preserve">Queer life, 20:</w:t>
      </w:r>
      <w:r>
        <w:t xml:space="preserve"> </w:t>
      </w:r>
      <w:r>
        <w:t xml:space="preserve">the biggest Pride event held in the city in 2025 or 2026 (10); dedicated LGBTQ+ bars and clubs, plus regular queer club nights (10).</w:t>
      </w:r>
    </w:p>
    <w:p>
      <w:pPr>
        <w:numPr>
          <w:ilvl w:val="1"/>
          <w:numId w:val="1003"/>
        </w:numPr>
        <w:pStyle w:val="Compact"/>
      </w:pPr>
      <w:r>
        <w:rPr>
          <w:bCs/>
          <w:b/>
        </w:rPr>
        <w:t xml:space="preserve">Sex work, 25:</w:t>
      </w:r>
      <w:r>
        <w:t xml:space="preserve"> </w:t>
      </w:r>
      <w:r>
        <w:t xml:space="preserve">state or territory sex work law and anti-discrimination protection (15); live listings on erobella.com/au per 100,000 people on 26 October 2026 (10).</w:t>
      </w:r>
    </w:p>
    <w:p>
      <w:pPr>
        <w:numPr>
          <w:ilvl w:val="1"/>
          <w:numId w:val="1003"/>
        </w:numPr>
        <w:pStyle w:val="Compact"/>
      </w:pPr>
      <w:r>
        <w:rPr>
          <w:bCs/>
          <w:b/>
        </w:rPr>
        <w:t xml:space="preserve">After dark, 20:</w:t>
      </w:r>
      <w:r>
        <w:t xml:space="preserve"> </w:t>
      </w:r>
      <w:r>
        <w:t xml:space="preserve">adult shops (8) and strip, swingers and kink clubs (7), each scored half on numbers per 100,000 people and half on the total; a legal nude beach within 50 km of the city centre (5, or 2 for a tolerated one).</w:t>
      </w:r>
    </w:p>
    <w:p>
      <w:pPr>
        <w:numPr>
          <w:ilvl w:val="1"/>
          <w:numId w:val="1003"/>
        </w:numPr>
        <w:pStyle w:val="Compact"/>
      </w:pPr>
      <w:r>
        <w:rPr>
          <w:bCs/>
          <w:b/>
        </w:rPr>
        <w:t xml:space="preserve">Abortion law, 10:</w:t>
      </w:r>
      <w:r>
        <w:t xml:space="preserve"> </w:t>
      </w:r>
      <w:r>
        <w:t xml:space="preserve">weeks of pregnancy at which abortion is available on request.</w:t>
      </w:r>
      <w:r>
        <w:t xml:space="preserve"> </w:t>
      </w:r>
      <w:r>
        <w:t xml:space="preserve">Measured numbers are scaled from the lowest city (0) to the highest (full points). The method is set out in full on the page.</w:t>
      </w:r>
    </w:p>
    <w:p>
      <w:pPr>
        <w:numPr>
          <w:ilvl w:val="0"/>
          <w:numId w:val="1002"/>
        </w:numPr>
        <w:pStyle w:val="Compact"/>
      </w:pPr>
      <w:r>
        <w:rPr>
          <w:bCs/>
          <w:b/>
        </w:rPr>
        <w:t xml:space="preserve">Venues.</w:t>
      </w:r>
      <w:r>
        <w:t xml:space="preserve"> </w:t>
      </w:r>
      <w:r>
        <w:t xml:space="preserve">Shops, clubs and bars count only with evidence they were trading in 2025 or 2026 (current opening hours, recent posts or reviews, chain store locators). Brothels and saunas are not counted. Adelaide’s strip club count uses the six reported by InDaily on 20 August 2026. Counts are a floor, not a census.</w:t>
      </w:r>
    </w:p>
    <w:p>
      <w:pPr>
        <w:numPr>
          <w:ilvl w:val="0"/>
          <w:numId w:val="1002"/>
        </w:numPr>
        <w:pStyle w:val="Compact"/>
      </w:pPr>
      <w:r>
        <w:rPr>
          <w:bCs/>
          <w:b/>
        </w:rPr>
        <w:t xml:space="preserve">Erobella data.</w:t>
      </w:r>
      <w:r>
        <w:t xml:space="preserve"> </w:t>
      </w:r>
      <w:r>
        <w:t xml:space="preserve">Listings are live published profiles on erobella.com/au on 26 October 2026, placed in a city by map location. Only city totals are published.</w:t>
      </w:r>
    </w:p>
    <w:p>
      <w:pPr>
        <w:numPr>
          <w:ilvl w:val="0"/>
          <w:numId w:val="1002"/>
        </w:numPr>
        <w:pStyle w:val="Compact"/>
      </w:pPr>
      <w:r>
        <w:rPr>
          <w:bCs/>
          <w:b/>
        </w:rPr>
        <w:t xml:space="preserve">Sources.</w:t>
      </w:r>
      <w:r>
        <w:t xml:space="preserve"> </w:t>
      </w:r>
      <w:r>
        <w:t xml:space="preserve">ABS (Marriage Law Postal Survey 2017, Census 2021, Regional population 2024-25, ASGS 2021); state and territory legislation; NSW Local Government Act 1993 s633, Nudity (Prescribed Areas) Act 1983 (Vic), ACT Parks and NT Parks for nude beaches; Pride organisers, Star Observer and QNews; chain store locators, venue websites and OpenStreetMap contributors (ODbL).</w:t>
      </w:r>
    </w:p>
    <w:p>
      <w:pPr>
        <w:numPr>
          <w:ilvl w:val="0"/>
          <w:numId w:val="1002"/>
        </w:numPr>
        <w:pStyle w:val="Compact"/>
      </w:pPr>
      <w:r>
        <w:rPr>
          <w:bCs/>
          <w:b/>
        </w:rPr>
        <w:t xml:space="preserve">What’s not included.</w:t>
      </w:r>
      <w:r>
        <w:t xml:space="preserve"> </w:t>
      </w:r>
      <w:r>
        <w:t xml:space="preserve">Census counts of same-sex couples by city aren’t in the ABS’s free tables, so they’re not used. 2026 Census results will be released from mid-2027.</w:t>
      </w:r>
    </w:p>
    <w:p>
      <w:pPr>
        <w:numPr>
          <w:ilvl w:val="0"/>
          <w:numId w:val="1002"/>
        </w:numPr>
        <w:pStyle w:val="Compact"/>
      </w:pPr>
      <w:r>
        <w:rPr>
          <w:bCs/>
          <w:b/>
        </w:rPr>
        <w:t xml:space="preserve">The worldwide ranking.</w:t>
      </w:r>
      <w:r>
        <w:t xml:space="preserve"> </w:t>
      </w:r>
      <w:r>
        <w:t xml:space="preserve">Erobella’s ranking of the world’s most sexually liberal cities is at</w:t>
      </w:r>
      <w:r>
        <w:t xml:space="preserve"> </w:t>
      </w:r>
      <w:hyperlink r:id="rId27">
        <w:r>
          <w:rPr>
            <w:rStyle w:val="Hyperlink"/>
          </w:rPr>
          <w:t xml:space="preserve">erobella.com/creative/liberal-cities-2026</w:t>
        </w:r>
      </w:hyperlink>
      <w:r>
        <w:t xml:space="preserve">.</w:t>
      </w:r>
    </w:p>
    <w:p>
      <w:pPr>
        <w:numPr>
          <w:ilvl w:val="0"/>
          <w:numId w:val="1002"/>
        </w:numPr>
        <w:pStyle w:val="Compact"/>
      </w:pPr>
      <w:r>
        <w:rPr>
          <w:bCs/>
          <w:b/>
        </w:rPr>
        <w:t xml:space="preserve">Data and reuse.</w:t>
      </w:r>
      <w:r>
        <w:t xml:space="preserve"> </w:t>
      </w:r>
      <w:r>
        <w:t xml:space="preserve">The full dataset is free to download as CSV from the page. Findings, tables and charts are free to publish with a credit to</w:t>
      </w:r>
      <w:r>
        <w:t xml:space="preserve"> </w:t>
      </w:r>
      <w:r>
        <w:rPr>
          <w:bCs/>
          <w:b/>
        </w:rPr>
        <w:t xml:space="preserve">Erobella</w:t>
      </w:r>
      <w:r>
        <w:t xml:space="preserve"> </w:t>
      </w:r>
      <w:r>
        <w:t xml:space="preserve">and, online, a link to</w:t>
      </w:r>
      <w:r>
        <w:t xml:space="preserve"> </w:t>
      </w:r>
      <w:hyperlink r:id="rId21">
        <w:r>
          <w:rPr>
            <w:rStyle w:val="Hyperlink"/>
          </w:rPr>
          <w:t xml:space="preserve">erobella.com/research/sexually-liberal-cities-australia</w:t>
        </w:r>
      </w:hyperlink>
      <w:r>
        <w:t xml:space="preserve">.</w:t>
      </w:r>
    </w:p>
    <w:p>
      <w:pPr>
        <w:numPr>
          <w:ilvl w:val="0"/>
          <w:numId w:val="1002"/>
        </w:numPr>
        <w:pStyle w:val="Compact"/>
      </w:pPr>
      <w:r>
        <w:rPr>
          <w:bCs/>
          <w:b/>
        </w:rPr>
        <w:t xml:space="preserve">Corrections.</w:t>
      </w:r>
      <w:r>
        <w:t xml:space="preserve"> </w:t>
      </w:r>
      <w:r>
        <w:t xml:space="preserve">Venues and councils can send corrections, with a link that shows it, to dara@erobella.com.</w:t>
      </w:r>
    </w:p>
    <w:p>
      <w:pPr>
        <w:numPr>
          <w:ilvl w:val="0"/>
          <w:numId w:val="1002"/>
        </w:numPr>
        <w:pStyle w:val="Compact"/>
      </w:pPr>
      <w:r>
        <w:rPr>
          <w:bCs/>
          <w:b/>
        </w:rPr>
        <w:t xml:space="preserve">About Erobella.</w:t>
      </w:r>
      <w:r>
        <w:t xml:space="preserve"> </w:t>
      </w:r>
      <w:r>
        <w:t xml:space="preserve">Erobella is the UK’s fastest growing escorting website and a progressive brand. Its Data &amp; Research team publishes original studies, including its annual survey of sex-worker wellbeing, the Liberal Cities Index (</w:t>
      </w:r>
      <w:hyperlink r:id="rId27">
        <w:r>
          <w:rPr>
            <w:rStyle w:val="Hyperlink"/>
          </w:rPr>
          <w:t xml:space="preserve">erobella.com/creative/liberal-cities-2026</w:t>
        </w:r>
      </w:hyperlink>
      <w:r>
        <w:t xml:space="preserve">), Out on Campus (</w:t>
      </w:r>
      <w:hyperlink r:id="rId28">
        <w:r>
          <w:rPr>
            <w:rStyle w:val="Hyperlink"/>
          </w:rPr>
          <w:t xml:space="preserve">erobella.com/research/out-on-campus</w:t>
        </w:r>
      </w:hyperlink>
      <w:r>
        <w:t xml:space="preserve">) and the Sex Work Statistics series (</w:t>
      </w:r>
      <w:hyperlink r:id="rId29">
        <w:r>
          <w:rPr>
            <w:rStyle w:val="Hyperlink"/>
          </w:rPr>
          <w:t xml:space="preserve">erobella.com/research/sex-work-statistics</w:t>
        </w:r>
      </w:hyperlink>
      <w:r>
        <w:t xml:space="preserve">). All are free to read at</w:t>
      </w:r>
      <w:r>
        <w:t xml:space="preserve"> </w:t>
      </w:r>
      <w:hyperlink r:id="rId30">
        <w:r>
          <w:rPr>
            <w:rStyle w:val="Hyperlink"/>
          </w:rPr>
          <w:t xml:space="preserve">erobella.com/research</w:t>
        </w:r>
      </w:hyperlink>
      <w:r>
        <w:t xml:space="preserve">.</w:t>
      </w:r>
    </w:p>
    <w:p>
      <w:pPr>
        <w:pStyle w:val="FirstParagraph"/>
      </w:pPr>
      <w:r>
        <w:rPr>
          <w:bCs/>
          <w:b/>
        </w:rPr>
        <w:t xml:space="preserve">Press contact:</w:t>
      </w:r>
      <w:r>
        <w:t xml:space="preserve"> </w:t>
      </w:r>
      <w:r>
        <w:t xml:space="preserve">Dara Weston, PR Manager, Erobella:</w:t>
      </w:r>
      <w:r>
        <w:t xml:space="preserve"> </w:t>
      </w:r>
      <w:hyperlink r:id="rId31">
        <w:r>
          <w:rPr>
            <w:rStyle w:val="Hyperlink"/>
          </w:rPr>
          <w:t xml:space="preserve">dara@erobella.com</w:t>
        </w:r>
      </w:hyperlink>
    </w:p>
    <w:p>
      <w:r>
        <w:pict>
          <v:rect style="width:0;height:1.5pt" o:hralign="center" o:hrstd="t" o:hr="t"/>
        </w:pict>
      </w:r>
    </w:p>
    <w:p>
      <w:pPr>
        <w:pStyle w:val="FirstParagraph"/>
      </w:pPr>
      <w:r>
        <w:rPr>
          <w:iCs/>
          <w:i/>
        </w:rPr>
        <w:t xml:space="preserve">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robella.com/creative/liberal-cities-2026/" TargetMode="External" /><Relationship Type="http://schemas.openxmlformats.org/officeDocument/2006/relationships/hyperlink" Id="rId30" Target="https://erobella.com/research/" TargetMode="External" /><Relationship Type="http://schemas.openxmlformats.org/officeDocument/2006/relationships/hyperlink" Id="rId28" Target="https://erobella.com/research/out-on-campus/" TargetMode="External" /><Relationship Type="http://schemas.openxmlformats.org/officeDocument/2006/relationships/hyperlink" Id="rId29" Target="https://erobella.com/research/sex-work-statistics/" TargetMode="External" /><Relationship Type="http://schemas.openxmlformats.org/officeDocument/2006/relationships/hyperlink" Id="rId21" Target="https://erobella.com/research/sexually-liberal-cities-australia/" TargetMode="External" /><Relationship Type="http://schemas.openxmlformats.org/officeDocument/2006/relationships/hyperlink" Id="rId31" Target="mailto:dara@erobella.com" TargetMode="External" /></Relationships>
</file>

<file path=word/_rels/footnotes.xml.rels><?xml version="1.0" encoding="UTF-8"?><Relationships xmlns="http://schemas.openxmlformats.org/package/2006/relationships"><Relationship Type="http://schemas.openxmlformats.org/officeDocument/2006/relationships/hyperlink" Id="rId27" Target="https://erobella.com/creative/liberal-cities-2026/" TargetMode="External" /><Relationship Type="http://schemas.openxmlformats.org/officeDocument/2006/relationships/hyperlink" Id="rId30" Target="https://erobella.com/research/" TargetMode="External" /><Relationship Type="http://schemas.openxmlformats.org/officeDocument/2006/relationships/hyperlink" Id="rId28" Target="https://erobella.com/research/out-on-campus/" TargetMode="External" /><Relationship Type="http://schemas.openxmlformats.org/officeDocument/2006/relationships/hyperlink" Id="rId29" Target="https://erobella.com/research/sex-work-statistics/" TargetMode="External" /><Relationship Type="http://schemas.openxmlformats.org/officeDocument/2006/relationships/hyperlink" Id="rId21" Target="https://erobella.com/research/sexually-liberal-cities-australia/" TargetMode="External" /><Relationship Type="http://schemas.openxmlformats.org/officeDocument/2006/relationships/hyperlink" Id="rId31" Target="mailto:dara@erobell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2026-10-26T13:07:54Z</dcterms:created>
  <dcterms:modified xsi:type="dcterms:W3CDTF">2026-10-26T13:07:54Z</dcterms:modified>
</cp:coreProperties>
</file>

<file path=docProps/custom.xml><?xml version="1.0" encoding="utf-8"?>
<Properties xmlns="http://schemas.openxmlformats.org/officeDocument/2006/custom-properties" xmlns:vt="http://schemas.openxmlformats.org/officeDocument/2006/docPropsVTypes"/>
</file>